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76A0" w14:textId="77777777" w:rsidR="00CB1011" w:rsidRDefault="00CB1011" w:rsidP="00CB1011">
      <w:pPr>
        <w:pStyle w:val="Title"/>
        <w:rPr>
          <w:rFonts w:ascii="Arial" w:hAnsi="Arial" w:cs="Arial"/>
          <w:b w:val="0"/>
          <w:sz w:val="22"/>
          <w:szCs w:val="22"/>
        </w:rPr>
      </w:pPr>
    </w:p>
    <w:p w14:paraId="06361530" w14:textId="33C931A3" w:rsidR="00925F9D" w:rsidRPr="00F37976" w:rsidRDefault="002C6596" w:rsidP="00F37976">
      <w:pPr>
        <w:pStyle w:val="Heading1"/>
      </w:pPr>
      <w:r w:rsidRPr="00F37976">
        <w:t>T</w:t>
      </w:r>
      <w:r w:rsidR="00F50DE2" w:rsidRPr="00F37976">
        <w:t>HE UNIVERSITY OF LEEDS</w:t>
      </w:r>
    </w:p>
    <w:p w14:paraId="3A9CA0DC" w14:textId="77777777" w:rsidR="00F50DE2" w:rsidRPr="00F37976" w:rsidRDefault="00F50DE2" w:rsidP="00F37976">
      <w:pPr>
        <w:pStyle w:val="Heading1"/>
      </w:pPr>
      <w:r w:rsidRPr="00F37976">
        <w:t>FACILITIES DIRECTORATE</w:t>
      </w:r>
    </w:p>
    <w:p w14:paraId="25D3E64C" w14:textId="77777777" w:rsidR="00F50DE2" w:rsidRPr="000D12E1" w:rsidRDefault="00F50DE2" w:rsidP="00925F9D">
      <w:pPr>
        <w:ind w:right="481"/>
        <w:jc w:val="center"/>
        <w:rPr>
          <w:rFonts w:ascii="Arial" w:hAnsi="Arial" w:cs="Arial"/>
          <w:b/>
          <w:sz w:val="24"/>
          <w:szCs w:val="24"/>
        </w:rPr>
      </w:pPr>
    </w:p>
    <w:p w14:paraId="4D36CB4C" w14:textId="1385EFE8" w:rsidR="00F50DE2" w:rsidRPr="00F37976" w:rsidRDefault="005F550D" w:rsidP="00F37976">
      <w:pPr>
        <w:pStyle w:val="Heading2"/>
      </w:pPr>
      <w:r w:rsidRPr="00F37976">
        <w:t xml:space="preserve"> </w:t>
      </w:r>
      <w:r w:rsidR="00F50DE2" w:rsidRPr="00F37976">
        <w:t xml:space="preserve">Policy on apportionment of costs in </w:t>
      </w:r>
      <w:r w:rsidR="00F6419D" w:rsidRPr="00F37976">
        <w:t>c</w:t>
      </w:r>
      <w:r w:rsidR="00F50DE2" w:rsidRPr="00F37976">
        <w:t xml:space="preserve">apital </w:t>
      </w:r>
      <w:r w:rsidR="00F6419D" w:rsidRPr="00F37976">
        <w:t>p</w:t>
      </w:r>
      <w:r w:rsidR="00F50DE2" w:rsidRPr="00F37976">
        <w:t>rojects</w:t>
      </w:r>
      <w:r w:rsidR="00384C7A" w:rsidRPr="00F37976">
        <w:t>,</w:t>
      </w:r>
      <w:r w:rsidR="00F1387C" w:rsidRPr="00F37976">
        <w:t xml:space="preserve"> </w:t>
      </w:r>
      <w:r w:rsidR="00F50DE2" w:rsidRPr="00F37976">
        <w:t xml:space="preserve">within </w:t>
      </w:r>
      <w:r w:rsidRPr="00F37976">
        <w:t xml:space="preserve">the </w:t>
      </w:r>
      <w:r w:rsidR="00F50DE2" w:rsidRPr="00F37976">
        <w:t xml:space="preserve">Investment Appraisal </w:t>
      </w:r>
      <w:r w:rsidRPr="00F37976">
        <w:t>Process</w:t>
      </w:r>
    </w:p>
    <w:p w14:paraId="4A220CB5" w14:textId="77777777" w:rsidR="00773B0A" w:rsidRPr="000D12E1" w:rsidRDefault="00773B0A" w:rsidP="00925F9D">
      <w:pPr>
        <w:ind w:right="481"/>
        <w:rPr>
          <w:rFonts w:ascii="Arial" w:hAnsi="Arial" w:cs="Arial"/>
          <w:sz w:val="24"/>
          <w:szCs w:val="24"/>
        </w:rPr>
      </w:pPr>
    </w:p>
    <w:p w14:paraId="174E5D63" w14:textId="77777777" w:rsidR="000F4678" w:rsidRPr="000D12E1" w:rsidRDefault="000F4678" w:rsidP="00350EDC">
      <w:pPr>
        <w:ind w:left="426" w:right="481"/>
        <w:jc w:val="both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 xml:space="preserve">Capital projects can cover not only refurbishment or construction of new buildings, but also the installation of </w:t>
      </w:r>
      <w:r w:rsidR="003D43A6" w:rsidRPr="000D12E1">
        <w:rPr>
          <w:rFonts w:ascii="Arial" w:hAnsi="Arial" w:cs="Arial"/>
          <w:sz w:val="24"/>
          <w:szCs w:val="24"/>
        </w:rPr>
        <w:t xml:space="preserve">some </w:t>
      </w:r>
      <w:r w:rsidRPr="000D12E1">
        <w:rPr>
          <w:rFonts w:ascii="Arial" w:hAnsi="Arial" w:cs="Arial"/>
          <w:sz w:val="24"/>
          <w:szCs w:val="24"/>
        </w:rPr>
        <w:t xml:space="preserve">equipment, as well as furniture and fittings.  </w:t>
      </w:r>
      <w:r w:rsidR="003D43A6" w:rsidRPr="000D12E1">
        <w:rPr>
          <w:rFonts w:ascii="Arial" w:hAnsi="Arial" w:cs="Arial"/>
          <w:sz w:val="24"/>
          <w:szCs w:val="24"/>
        </w:rPr>
        <w:t xml:space="preserve">Faculties pay </w:t>
      </w:r>
      <w:r w:rsidR="005E23B7" w:rsidRPr="000D12E1">
        <w:rPr>
          <w:rFonts w:ascii="Arial" w:hAnsi="Arial" w:cs="Arial"/>
          <w:sz w:val="24"/>
          <w:szCs w:val="24"/>
        </w:rPr>
        <w:t xml:space="preserve">a minimum of </w:t>
      </w:r>
      <w:r w:rsidR="003D43A6" w:rsidRPr="000D12E1">
        <w:rPr>
          <w:rFonts w:ascii="Arial" w:hAnsi="Arial" w:cs="Arial"/>
          <w:sz w:val="24"/>
          <w:szCs w:val="24"/>
        </w:rPr>
        <w:t xml:space="preserve">10% towards costs incurred as part of </w:t>
      </w:r>
      <w:r w:rsidR="00214B29" w:rsidRPr="000D12E1">
        <w:rPr>
          <w:rFonts w:ascii="Arial" w:hAnsi="Arial" w:cs="Arial"/>
          <w:sz w:val="24"/>
          <w:szCs w:val="24"/>
        </w:rPr>
        <w:t>a</w:t>
      </w:r>
      <w:r w:rsidR="003D43A6" w:rsidRPr="000D12E1">
        <w:rPr>
          <w:rFonts w:ascii="Arial" w:hAnsi="Arial" w:cs="Arial"/>
          <w:sz w:val="24"/>
          <w:szCs w:val="24"/>
        </w:rPr>
        <w:t xml:space="preserve"> </w:t>
      </w:r>
      <w:r w:rsidR="00214B29" w:rsidRPr="000D12E1">
        <w:rPr>
          <w:rFonts w:ascii="Arial" w:hAnsi="Arial" w:cs="Arial"/>
          <w:sz w:val="24"/>
          <w:szCs w:val="24"/>
        </w:rPr>
        <w:t>c</w:t>
      </w:r>
      <w:r w:rsidR="003D43A6" w:rsidRPr="000D12E1">
        <w:rPr>
          <w:rFonts w:ascii="Arial" w:hAnsi="Arial" w:cs="Arial"/>
          <w:sz w:val="24"/>
          <w:szCs w:val="24"/>
        </w:rPr>
        <w:t xml:space="preserve">apital </w:t>
      </w:r>
      <w:r w:rsidR="00214B29" w:rsidRPr="000D12E1">
        <w:rPr>
          <w:rFonts w:ascii="Arial" w:hAnsi="Arial" w:cs="Arial"/>
          <w:sz w:val="24"/>
          <w:szCs w:val="24"/>
        </w:rPr>
        <w:t>p</w:t>
      </w:r>
      <w:r w:rsidR="003D43A6" w:rsidRPr="000D12E1">
        <w:rPr>
          <w:rFonts w:ascii="Arial" w:hAnsi="Arial" w:cs="Arial"/>
          <w:sz w:val="24"/>
          <w:szCs w:val="24"/>
        </w:rPr>
        <w:t>roject</w:t>
      </w:r>
      <w:r w:rsidR="005E23B7" w:rsidRPr="000D12E1">
        <w:rPr>
          <w:rFonts w:ascii="Arial" w:hAnsi="Arial" w:cs="Arial"/>
          <w:sz w:val="24"/>
          <w:szCs w:val="24"/>
        </w:rPr>
        <w:t xml:space="preserve">, </w:t>
      </w:r>
      <w:r w:rsidR="00A12E6F" w:rsidRPr="000D12E1">
        <w:rPr>
          <w:rFonts w:ascii="Arial" w:hAnsi="Arial" w:cs="Arial"/>
          <w:sz w:val="24"/>
          <w:szCs w:val="24"/>
        </w:rPr>
        <w:t xml:space="preserve">and </w:t>
      </w:r>
      <w:r w:rsidR="005E23B7" w:rsidRPr="000D12E1">
        <w:rPr>
          <w:rFonts w:ascii="Arial" w:hAnsi="Arial" w:cs="Arial"/>
          <w:sz w:val="24"/>
          <w:szCs w:val="24"/>
        </w:rPr>
        <w:t>sometimes elect to pay more;</w:t>
      </w:r>
      <w:r w:rsidR="003D43A6" w:rsidRPr="000D12E1">
        <w:rPr>
          <w:rFonts w:ascii="Arial" w:hAnsi="Arial" w:cs="Arial"/>
          <w:sz w:val="24"/>
          <w:szCs w:val="24"/>
        </w:rPr>
        <w:t xml:space="preserve"> in the case of Professional Services the Capital Programme provides 100% of funding</w:t>
      </w:r>
      <w:r w:rsidR="005E23B7" w:rsidRPr="000D12E1">
        <w:rPr>
          <w:rFonts w:ascii="Arial" w:hAnsi="Arial" w:cs="Arial"/>
          <w:sz w:val="24"/>
          <w:szCs w:val="24"/>
        </w:rPr>
        <w:t xml:space="preserve">.  </w:t>
      </w:r>
      <w:r w:rsidR="00147549" w:rsidRPr="000D12E1">
        <w:rPr>
          <w:rFonts w:ascii="Arial" w:hAnsi="Arial" w:cs="Arial"/>
          <w:sz w:val="24"/>
          <w:szCs w:val="24"/>
        </w:rPr>
        <w:t>Guidance on cost apportion</w:t>
      </w:r>
      <w:r w:rsidR="005970E8" w:rsidRPr="000D12E1">
        <w:rPr>
          <w:rFonts w:ascii="Arial" w:hAnsi="Arial" w:cs="Arial"/>
          <w:sz w:val="24"/>
          <w:szCs w:val="24"/>
        </w:rPr>
        <w:t>ment is s</w:t>
      </w:r>
      <w:r w:rsidR="00935CA9" w:rsidRPr="000D12E1">
        <w:rPr>
          <w:rFonts w:ascii="Arial" w:hAnsi="Arial" w:cs="Arial"/>
          <w:sz w:val="24"/>
          <w:szCs w:val="24"/>
        </w:rPr>
        <w:t>et out below</w:t>
      </w:r>
      <w:r w:rsidR="00E05C09" w:rsidRPr="000D12E1">
        <w:rPr>
          <w:rFonts w:ascii="Arial" w:hAnsi="Arial" w:cs="Arial"/>
          <w:sz w:val="24"/>
          <w:szCs w:val="24"/>
        </w:rPr>
        <w:t>,</w:t>
      </w:r>
      <w:r w:rsidR="003D43A6" w:rsidRPr="000D12E1">
        <w:rPr>
          <w:rFonts w:ascii="Arial" w:hAnsi="Arial" w:cs="Arial"/>
          <w:sz w:val="24"/>
          <w:szCs w:val="24"/>
        </w:rPr>
        <w:t xml:space="preserve"> which addresses some questions</w:t>
      </w:r>
      <w:r w:rsidR="005E23B7" w:rsidRPr="000D12E1">
        <w:rPr>
          <w:rFonts w:ascii="Arial" w:hAnsi="Arial" w:cs="Arial"/>
          <w:sz w:val="24"/>
          <w:szCs w:val="24"/>
        </w:rPr>
        <w:t xml:space="preserve"> about what is </w:t>
      </w:r>
      <w:r w:rsidR="00D01E28" w:rsidRPr="000D12E1">
        <w:rPr>
          <w:rFonts w:ascii="Arial" w:hAnsi="Arial" w:cs="Arial"/>
          <w:sz w:val="24"/>
          <w:szCs w:val="24"/>
        </w:rPr>
        <w:t xml:space="preserve">and is not </w:t>
      </w:r>
      <w:r w:rsidR="005E23B7" w:rsidRPr="000D12E1">
        <w:rPr>
          <w:rFonts w:ascii="Arial" w:hAnsi="Arial" w:cs="Arial"/>
          <w:sz w:val="24"/>
          <w:szCs w:val="24"/>
        </w:rPr>
        <w:t>included in project costs</w:t>
      </w:r>
      <w:r w:rsidR="00A12E6F" w:rsidRPr="000D12E1">
        <w:rPr>
          <w:rFonts w:ascii="Arial" w:hAnsi="Arial" w:cs="Arial"/>
          <w:sz w:val="24"/>
          <w:szCs w:val="24"/>
        </w:rPr>
        <w:t>, irrespective of funding source.</w:t>
      </w:r>
    </w:p>
    <w:p w14:paraId="34616C71" w14:textId="77777777" w:rsidR="00773B0A" w:rsidRPr="000D12E1" w:rsidRDefault="00773B0A" w:rsidP="00925F9D">
      <w:pPr>
        <w:ind w:left="426" w:right="481"/>
        <w:rPr>
          <w:rFonts w:ascii="Arial" w:hAnsi="Arial" w:cs="Arial"/>
          <w:sz w:val="24"/>
          <w:szCs w:val="24"/>
        </w:rPr>
      </w:pPr>
    </w:p>
    <w:p w14:paraId="1889FDD9" w14:textId="7ACC324F" w:rsidR="005975FB" w:rsidRPr="00F37976" w:rsidRDefault="005975FB" w:rsidP="00F37976">
      <w:pPr>
        <w:pStyle w:val="Heading3"/>
      </w:pPr>
      <w:r w:rsidRPr="00F37976">
        <w:t>Faculties and Schools</w:t>
      </w:r>
    </w:p>
    <w:p w14:paraId="06B2FC56" w14:textId="77777777" w:rsidR="00925F9D" w:rsidRPr="000D12E1" w:rsidRDefault="00925F9D" w:rsidP="00925F9D">
      <w:pPr>
        <w:ind w:left="426" w:right="481"/>
        <w:rPr>
          <w:rFonts w:ascii="Arial" w:hAnsi="Arial" w:cs="Arial"/>
          <w:b/>
          <w:sz w:val="24"/>
          <w:szCs w:val="24"/>
        </w:rPr>
      </w:pPr>
    </w:p>
    <w:p w14:paraId="00DC3CA9" w14:textId="59959761" w:rsidR="00EF1DCB" w:rsidRPr="000D12E1" w:rsidRDefault="00601525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 xml:space="preserve">Schools and </w:t>
      </w:r>
      <w:r w:rsidR="0058078C" w:rsidRPr="000D12E1">
        <w:rPr>
          <w:rFonts w:ascii="Arial" w:hAnsi="Arial" w:cs="Arial"/>
          <w:sz w:val="24"/>
          <w:szCs w:val="24"/>
        </w:rPr>
        <w:t>F</w:t>
      </w:r>
      <w:r w:rsidRPr="000D12E1">
        <w:rPr>
          <w:rFonts w:ascii="Arial" w:hAnsi="Arial" w:cs="Arial"/>
          <w:sz w:val="24"/>
          <w:szCs w:val="24"/>
        </w:rPr>
        <w:t xml:space="preserve">aculties contribute a minimum of 10% towards the cost of facilities provided in projects </w:t>
      </w:r>
      <w:r w:rsidR="0058078C" w:rsidRPr="000D12E1">
        <w:rPr>
          <w:rFonts w:ascii="Arial" w:hAnsi="Arial" w:cs="Arial"/>
          <w:sz w:val="24"/>
          <w:szCs w:val="24"/>
        </w:rPr>
        <w:t xml:space="preserve">funded by the Capital Programme, </w:t>
      </w:r>
      <w:r w:rsidRPr="000D12E1">
        <w:rPr>
          <w:rFonts w:ascii="Arial" w:hAnsi="Arial" w:cs="Arial"/>
          <w:sz w:val="24"/>
          <w:szCs w:val="24"/>
        </w:rPr>
        <w:t>which they will occupy and manage as the main user, (</w:t>
      </w:r>
      <w:proofErr w:type="spellStart"/>
      <w:r w:rsidR="00CB3ED3" w:rsidRPr="000D12E1">
        <w:rPr>
          <w:rFonts w:ascii="Arial" w:hAnsi="Arial" w:cs="Arial"/>
          <w:sz w:val="24"/>
          <w:szCs w:val="24"/>
        </w:rPr>
        <w:t>ie</w:t>
      </w:r>
      <w:proofErr w:type="spellEnd"/>
      <w:r w:rsidRPr="000D12E1">
        <w:rPr>
          <w:rFonts w:ascii="Arial" w:hAnsi="Arial" w:cs="Arial"/>
          <w:sz w:val="24"/>
          <w:szCs w:val="24"/>
        </w:rPr>
        <w:t xml:space="preserve"> this excludes </w:t>
      </w:r>
      <w:r w:rsidR="00EF1DCB" w:rsidRPr="000D12E1">
        <w:rPr>
          <w:rFonts w:ascii="Arial" w:hAnsi="Arial" w:cs="Arial"/>
          <w:sz w:val="24"/>
          <w:szCs w:val="24"/>
        </w:rPr>
        <w:t xml:space="preserve">embedded </w:t>
      </w:r>
      <w:r w:rsidRPr="000D12E1">
        <w:rPr>
          <w:rFonts w:ascii="Arial" w:hAnsi="Arial" w:cs="Arial"/>
          <w:sz w:val="24"/>
          <w:szCs w:val="24"/>
        </w:rPr>
        <w:t>centrally timetabled space,</w:t>
      </w:r>
      <w:r w:rsidR="00F50DE2" w:rsidRPr="000D12E1">
        <w:rPr>
          <w:rFonts w:ascii="Arial" w:hAnsi="Arial" w:cs="Arial"/>
          <w:sz w:val="24"/>
          <w:szCs w:val="24"/>
        </w:rPr>
        <w:t xml:space="preserve"> cafes and associated </w:t>
      </w:r>
      <w:r w:rsidRPr="000D12E1">
        <w:rPr>
          <w:rFonts w:ascii="Arial" w:hAnsi="Arial" w:cs="Arial"/>
          <w:sz w:val="24"/>
          <w:szCs w:val="24"/>
        </w:rPr>
        <w:t>social space)</w:t>
      </w:r>
    </w:p>
    <w:p w14:paraId="1C0FD62B" w14:textId="77777777" w:rsidR="00EF1DCB" w:rsidRPr="000D12E1" w:rsidRDefault="00EF1DCB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269800FF" w14:textId="2D3EED26" w:rsidR="00B82C91" w:rsidRPr="000D12E1" w:rsidRDefault="00B82C91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>The Capital Programme (and Faculty 10% contribution) cover</w:t>
      </w:r>
      <w:r w:rsidR="00D01E28" w:rsidRPr="000D12E1">
        <w:rPr>
          <w:rFonts w:ascii="Arial" w:hAnsi="Arial" w:cs="Arial"/>
          <w:sz w:val="24"/>
          <w:szCs w:val="24"/>
        </w:rPr>
        <w:t>s</w:t>
      </w:r>
      <w:r w:rsidRPr="000D12E1">
        <w:rPr>
          <w:rFonts w:ascii="Arial" w:hAnsi="Arial" w:cs="Arial"/>
          <w:sz w:val="24"/>
          <w:szCs w:val="24"/>
        </w:rPr>
        <w:t xml:space="preserve"> one-off equipment costs</w:t>
      </w:r>
      <w:r w:rsidR="00214B29" w:rsidRPr="000D12E1">
        <w:rPr>
          <w:rFonts w:ascii="Arial" w:hAnsi="Arial" w:cs="Arial"/>
          <w:sz w:val="24"/>
          <w:szCs w:val="24"/>
        </w:rPr>
        <w:t xml:space="preserve"> </w:t>
      </w:r>
      <w:r w:rsidR="00D01E28" w:rsidRPr="000D12E1">
        <w:rPr>
          <w:rFonts w:ascii="Arial" w:hAnsi="Arial" w:cs="Arial"/>
          <w:sz w:val="24"/>
          <w:szCs w:val="24"/>
        </w:rPr>
        <w:t>within</w:t>
      </w:r>
      <w:r w:rsidR="00214B29" w:rsidRPr="000D12E1">
        <w:rPr>
          <w:rFonts w:ascii="Arial" w:hAnsi="Arial" w:cs="Arial"/>
          <w:sz w:val="24"/>
          <w:szCs w:val="24"/>
        </w:rPr>
        <w:t xml:space="preserve"> the project</w:t>
      </w:r>
      <w:r w:rsidRPr="000D12E1">
        <w:rPr>
          <w:rFonts w:ascii="Arial" w:hAnsi="Arial" w:cs="Arial"/>
          <w:sz w:val="24"/>
          <w:szCs w:val="24"/>
        </w:rPr>
        <w:t xml:space="preserve">, such as </w:t>
      </w:r>
      <w:r w:rsidR="004B3743" w:rsidRPr="000D12E1">
        <w:rPr>
          <w:rFonts w:ascii="Arial" w:hAnsi="Arial" w:cs="Arial"/>
          <w:sz w:val="24"/>
          <w:szCs w:val="24"/>
        </w:rPr>
        <w:t xml:space="preserve">fixed </w:t>
      </w:r>
      <w:r w:rsidRPr="000D12E1">
        <w:rPr>
          <w:rFonts w:ascii="Arial" w:hAnsi="Arial" w:cs="Arial"/>
          <w:sz w:val="24"/>
          <w:szCs w:val="24"/>
        </w:rPr>
        <w:t xml:space="preserve">white goods in kitchens, but will </w:t>
      </w:r>
      <w:r w:rsidRPr="000D12E1">
        <w:rPr>
          <w:rFonts w:ascii="Arial" w:hAnsi="Arial" w:cs="Arial"/>
          <w:b/>
          <w:sz w:val="24"/>
          <w:szCs w:val="24"/>
        </w:rPr>
        <w:t>no</w:t>
      </w:r>
      <w:r w:rsidRPr="000D12E1">
        <w:rPr>
          <w:rFonts w:ascii="Arial" w:hAnsi="Arial" w:cs="Arial"/>
          <w:sz w:val="24"/>
          <w:szCs w:val="24"/>
        </w:rPr>
        <w:t>t cover items funded by recurrent bud</w:t>
      </w:r>
      <w:r w:rsidR="00CB3ED3" w:rsidRPr="000D12E1">
        <w:rPr>
          <w:rFonts w:ascii="Arial" w:hAnsi="Arial" w:cs="Arial"/>
          <w:sz w:val="24"/>
          <w:szCs w:val="24"/>
        </w:rPr>
        <w:t>gets, such as PCs, photocopiers,</w:t>
      </w:r>
      <w:r w:rsidRPr="000D12E1">
        <w:rPr>
          <w:rFonts w:ascii="Arial" w:hAnsi="Arial" w:cs="Arial"/>
          <w:sz w:val="24"/>
          <w:szCs w:val="24"/>
        </w:rPr>
        <w:t xml:space="preserve"> AV</w:t>
      </w:r>
      <w:r w:rsidR="00D01E28" w:rsidRPr="000D12E1">
        <w:rPr>
          <w:rFonts w:ascii="Arial" w:hAnsi="Arial" w:cs="Arial"/>
          <w:sz w:val="24"/>
          <w:szCs w:val="24"/>
        </w:rPr>
        <w:t>,</w:t>
      </w:r>
      <w:r w:rsidR="00EF1DCB" w:rsidRPr="000D12E1">
        <w:rPr>
          <w:rFonts w:ascii="Arial" w:hAnsi="Arial" w:cs="Arial"/>
          <w:sz w:val="24"/>
          <w:szCs w:val="24"/>
        </w:rPr>
        <w:t xml:space="preserve"> </w:t>
      </w:r>
      <w:r w:rsidR="00582152" w:rsidRPr="000D12E1">
        <w:rPr>
          <w:rFonts w:ascii="Arial" w:hAnsi="Arial" w:cs="Arial"/>
          <w:sz w:val="24"/>
          <w:szCs w:val="24"/>
        </w:rPr>
        <w:t xml:space="preserve">phones, </w:t>
      </w:r>
      <w:r w:rsidR="00EF1DCB" w:rsidRPr="000D12E1">
        <w:rPr>
          <w:rFonts w:ascii="Arial" w:hAnsi="Arial" w:cs="Arial"/>
          <w:sz w:val="24"/>
          <w:szCs w:val="24"/>
        </w:rPr>
        <w:t>loose white goods such as fridges</w:t>
      </w:r>
      <w:r w:rsidR="00371B21" w:rsidRPr="000D12E1">
        <w:rPr>
          <w:rFonts w:ascii="Arial" w:hAnsi="Arial" w:cs="Arial"/>
          <w:sz w:val="24"/>
          <w:szCs w:val="24"/>
        </w:rPr>
        <w:t>, research equipment</w:t>
      </w:r>
      <w:r w:rsidR="002B2BE3">
        <w:rPr>
          <w:rFonts w:ascii="Arial" w:hAnsi="Arial" w:cs="Arial"/>
          <w:sz w:val="24"/>
          <w:szCs w:val="24"/>
        </w:rPr>
        <w:t xml:space="preserve"> etc,</w:t>
      </w:r>
    </w:p>
    <w:p w14:paraId="306AFFA8" w14:textId="77777777" w:rsidR="00B82C91" w:rsidRPr="000D12E1" w:rsidRDefault="00B82C91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13DE9707" w14:textId="5DDC7448" w:rsidR="009758DD" w:rsidRPr="000D12E1" w:rsidRDefault="005C007E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>Faculties need not contribute towards significant backlog maintenance costs</w:t>
      </w:r>
      <w:r w:rsidR="00EC3701" w:rsidRPr="000D12E1">
        <w:rPr>
          <w:rFonts w:ascii="Arial" w:hAnsi="Arial" w:cs="Arial"/>
          <w:sz w:val="24"/>
          <w:szCs w:val="24"/>
        </w:rPr>
        <w:t xml:space="preserve"> included within the project</w:t>
      </w:r>
      <w:r w:rsidR="00EE3DD5" w:rsidRPr="000D12E1">
        <w:rPr>
          <w:rFonts w:ascii="Arial" w:hAnsi="Arial" w:cs="Arial"/>
          <w:sz w:val="24"/>
          <w:szCs w:val="24"/>
        </w:rPr>
        <w:t xml:space="preserve">, or </w:t>
      </w:r>
      <w:r w:rsidR="00EF1DCB" w:rsidRPr="000D12E1">
        <w:rPr>
          <w:rFonts w:ascii="Arial" w:hAnsi="Arial" w:cs="Arial"/>
          <w:sz w:val="24"/>
          <w:szCs w:val="24"/>
        </w:rPr>
        <w:t xml:space="preserve">large-scale </w:t>
      </w:r>
      <w:r w:rsidR="00EE3DD5" w:rsidRPr="000D12E1">
        <w:rPr>
          <w:rFonts w:ascii="Arial" w:hAnsi="Arial" w:cs="Arial"/>
          <w:sz w:val="24"/>
          <w:szCs w:val="24"/>
        </w:rPr>
        <w:t>measures to improve sustainability</w:t>
      </w:r>
      <w:r w:rsidR="00A6156C" w:rsidRPr="000D12E1">
        <w:rPr>
          <w:rFonts w:ascii="Arial" w:hAnsi="Arial" w:cs="Arial"/>
          <w:sz w:val="24"/>
          <w:szCs w:val="24"/>
        </w:rPr>
        <w:t xml:space="preserve"> such as </w:t>
      </w:r>
      <w:r w:rsidR="00B37771" w:rsidRPr="000D12E1">
        <w:rPr>
          <w:rFonts w:ascii="Arial" w:hAnsi="Arial" w:cs="Arial"/>
          <w:sz w:val="24"/>
          <w:szCs w:val="24"/>
        </w:rPr>
        <w:t>low or zero carbon construction</w:t>
      </w:r>
      <w:r w:rsidR="00EF1DCB" w:rsidRPr="000D12E1">
        <w:rPr>
          <w:rFonts w:ascii="Arial" w:hAnsi="Arial" w:cs="Arial"/>
          <w:sz w:val="24"/>
          <w:szCs w:val="24"/>
        </w:rPr>
        <w:t>.</w:t>
      </w:r>
    </w:p>
    <w:p w14:paraId="5D54B235" w14:textId="77777777" w:rsidR="0037758C" w:rsidRPr="000D12E1" w:rsidRDefault="0037758C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15458877" w14:textId="77777777" w:rsidR="00EC3701" w:rsidRPr="000D12E1" w:rsidRDefault="00EC3701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>If costs change either up or down after project approval, the 10% minimum contribution level still applies</w:t>
      </w:r>
      <w:r w:rsidR="009758DD" w:rsidRPr="000D12E1">
        <w:rPr>
          <w:rFonts w:ascii="Arial" w:hAnsi="Arial" w:cs="Arial"/>
          <w:sz w:val="24"/>
          <w:szCs w:val="24"/>
        </w:rPr>
        <w:t xml:space="preserve">, so Schools and Faculties </w:t>
      </w:r>
      <w:r w:rsidR="00214B29" w:rsidRPr="000D12E1">
        <w:rPr>
          <w:rFonts w:ascii="Arial" w:hAnsi="Arial" w:cs="Arial"/>
          <w:sz w:val="24"/>
          <w:szCs w:val="24"/>
        </w:rPr>
        <w:t>might</w:t>
      </w:r>
      <w:r w:rsidR="009758DD" w:rsidRPr="000D12E1">
        <w:rPr>
          <w:rFonts w:ascii="Arial" w:hAnsi="Arial" w:cs="Arial"/>
          <w:sz w:val="24"/>
          <w:szCs w:val="24"/>
        </w:rPr>
        <w:t xml:space="preserve"> increase their contribution, or might pay less</w:t>
      </w:r>
      <w:r w:rsidRPr="000D12E1">
        <w:rPr>
          <w:rFonts w:ascii="Arial" w:hAnsi="Arial" w:cs="Arial"/>
          <w:sz w:val="24"/>
          <w:szCs w:val="24"/>
        </w:rPr>
        <w:t>.</w:t>
      </w:r>
    </w:p>
    <w:p w14:paraId="2790F9ED" w14:textId="77777777" w:rsidR="00A35A8F" w:rsidRPr="000D12E1" w:rsidRDefault="00A35A8F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7FD0B184" w14:textId="53540406" w:rsidR="00A35A8F" w:rsidRPr="000D12E1" w:rsidRDefault="00A35A8F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 xml:space="preserve">Total project costs include all items to be procured as part of the building contract. Some equipment such as AV or plasma screens, </w:t>
      </w:r>
      <w:r w:rsidR="00976E4B" w:rsidRPr="000D12E1">
        <w:rPr>
          <w:rFonts w:ascii="Arial" w:hAnsi="Arial" w:cs="Arial"/>
          <w:sz w:val="24"/>
          <w:szCs w:val="24"/>
        </w:rPr>
        <w:t>is</w:t>
      </w:r>
      <w:r w:rsidRPr="000D12E1">
        <w:rPr>
          <w:rFonts w:ascii="Arial" w:hAnsi="Arial" w:cs="Arial"/>
          <w:sz w:val="24"/>
          <w:szCs w:val="24"/>
        </w:rPr>
        <w:t xml:space="preserve"> procured in this way so </w:t>
      </w:r>
      <w:r w:rsidR="00976E4B" w:rsidRPr="000D12E1">
        <w:rPr>
          <w:rFonts w:ascii="Arial" w:hAnsi="Arial" w:cs="Arial"/>
          <w:sz w:val="24"/>
          <w:szCs w:val="24"/>
        </w:rPr>
        <w:t>it</w:t>
      </w:r>
      <w:r w:rsidRPr="000D12E1">
        <w:rPr>
          <w:rFonts w:ascii="Arial" w:hAnsi="Arial" w:cs="Arial"/>
          <w:sz w:val="24"/>
          <w:szCs w:val="24"/>
        </w:rPr>
        <w:t xml:space="preserve"> can be installed by the contractor, who is then responsible for commissioning the equipment, irrespecti</w:t>
      </w:r>
      <w:r w:rsidR="002B2BE3">
        <w:rPr>
          <w:rFonts w:ascii="Arial" w:hAnsi="Arial" w:cs="Arial"/>
          <w:sz w:val="24"/>
          <w:szCs w:val="24"/>
        </w:rPr>
        <w:t>ve of who is providing funding.</w:t>
      </w:r>
    </w:p>
    <w:p w14:paraId="04370C8B" w14:textId="77777777" w:rsidR="00A35A8F" w:rsidRPr="000D12E1" w:rsidRDefault="00A35A8F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4EE8E013" w14:textId="16D334AE" w:rsidR="00A35A8F" w:rsidRPr="000D12E1" w:rsidRDefault="00A35A8F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>If AV equipment is provided for centrally timetabled rooms within the project, the Faculty will not contribute towards that cost, t</w:t>
      </w:r>
      <w:r w:rsidR="002B2BE3">
        <w:rPr>
          <w:rFonts w:ascii="Arial" w:hAnsi="Arial" w:cs="Arial"/>
          <w:sz w:val="24"/>
          <w:szCs w:val="24"/>
        </w:rPr>
        <w:t>he Capital Programme pays 100%.</w:t>
      </w:r>
    </w:p>
    <w:p w14:paraId="56E91FDA" w14:textId="77777777" w:rsidR="00A35A8F" w:rsidRPr="000D12E1" w:rsidRDefault="00A35A8F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4877DE10" w14:textId="291D17D0" w:rsidR="00A35A8F" w:rsidRPr="000D12E1" w:rsidRDefault="00A35A8F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>Furniture, whiteboards, notice boards, and shelving costs are included within Capital Programme project costs, so Faculties will pay a minimum 10% contribution towards those items where they are being provided in space intended for the Faculty as main user. Fixed equipment is also supplied mainly in laboratories, such as fixed benches</w:t>
      </w:r>
      <w:r w:rsidR="008550A8" w:rsidRPr="000D12E1">
        <w:rPr>
          <w:rFonts w:ascii="Arial" w:hAnsi="Arial" w:cs="Arial"/>
          <w:sz w:val="24"/>
          <w:szCs w:val="24"/>
        </w:rPr>
        <w:t>, cold rooms</w:t>
      </w:r>
      <w:r w:rsidRPr="000D12E1">
        <w:rPr>
          <w:rFonts w:ascii="Arial" w:hAnsi="Arial" w:cs="Arial"/>
          <w:sz w:val="24"/>
          <w:szCs w:val="24"/>
        </w:rPr>
        <w:t xml:space="preserve"> and fume cupboards</w:t>
      </w:r>
      <w:r w:rsidR="00225F53" w:rsidRPr="000D12E1">
        <w:rPr>
          <w:rFonts w:ascii="Arial" w:hAnsi="Arial" w:cs="Arial"/>
          <w:sz w:val="24"/>
          <w:szCs w:val="24"/>
        </w:rPr>
        <w:t>, plus shelving and notice boards in offices</w:t>
      </w:r>
      <w:r w:rsidRPr="000D12E1">
        <w:rPr>
          <w:rFonts w:ascii="Arial" w:hAnsi="Arial" w:cs="Arial"/>
          <w:sz w:val="24"/>
          <w:szCs w:val="24"/>
        </w:rPr>
        <w:t xml:space="preserve"> (these items are classed as</w:t>
      </w:r>
      <w:r w:rsidR="0030231E" w:rsidRPr="000D12E1">
        <w:rPr>
          <w:rFonts w:ascii="Arial" w:hAnsi="Arial" w:cs="Arial"/>
          <w:sz w:val="24"/>
          <w:szCs w:val="24"/>
        </w:rPr>
        <w:t xml:space="preserve"> </w:t>
      </w:r>
      <w:r w:rsidRPr="000D12E1">
        <w:rPr>
          <w:rFonts w:ascii="Arial" w:hAnsi="Arial" w:cs="Arial"/>
          <w:sz w:val="24"/>
          <w:szCs w:val="24"/>
        </w:rPr>
        <w:t>furniture</w:t>
      </w:r>
      <w:r w:rsidR="00582152" w:rsidRPr="000D12E1">
        <w:rPr>
          <w:rFonts w:ascii="Arial" w:hAnsi="Arial" w:cs="Arial"/>
          <w:sz w:val="24"/>
          <w:szCs w:val="24"/>
        </w:rPr>
        <w:t>,</w:t>
      </w:r>
      <w:r w:rsidRPr="000D12E1">
        <w:rPr>
          <w:rFonts w:ascii="Arial" w:hAnsi="Arial" w:cs="Arial"/>
          <w:sz w:val="24"/>
          <w:szCs w:val="24"/>
        </w:rPr>
        <w:t xml:space="preserve"> fittings</w:t>
      </w:r>
      <w:r w:rsidR="005E23B7" w:rsidRPr="000D12E1">
        <w:rPr>
          <w:rFonts w:ascii="Arial" w:hAnsi="Arial" w:cs="Arial"/>
          <w:sz w:val="24"/>
          <w:szCs w:val="24"/>
        </w:rPr>
        <w:t xml:space="preserve"> and fixed specialist equipment</w:t>
      </w:r>
      <w:r w:rsidRPr="000D12E1">
        <w:rPr>
          <w:rFonts w:ascii="Arial" w:hAnsi="Arial" w:cs="Arial"/>
          <w:sz w:val="24"/>
          <w:szCs w:val="24"/>
        </w:rPr>
        <w:t>).</w:t>
      </w:r>
    </w:p>
    <w:p w14:paraId="398EECEC" w14:textId="77777777" w:rsidR="003A5A41" w:rsidRPr="000D12E1" w:rsidRDefault="003A5A41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3B23DCCC" w14:textId="77777777" w:rsidR="003A5A41" w:rsidRPr="000D12E1" w:rsidRDefault="003A5A41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lastRenderedPageBreak/>
        <w:t xml:space="preserve">Where air extraction or cooling is provided as part of a project and supports equipment rather than people, the cost of plant maintenance is the responsibility of the Faculty, rather than Estates. </w:t>
      </w:r>
      <w:r w:rsidR="00B37B1E" w:rsidRPr="000D12E1">
        <w:rPr>
          <w:rFonts w:ascii="Arial" w:hAnsi="Arial" w:cs="Arial"/>
          <w:sz w:val="24"/>
          <w:szCs w:val="24"/>
        </w:rPr>
        <w:t>However, the Faculty will pay 10% towards the capital cost of provision (as with other fixed specialist equipment), with the Capital Programme providing the balance.</w:t>
      </w:r>
    </w:p>
    <w:p w14:paraId="69DA4763" w14:textId="77777777" w:rsidR="0030231E" w:rsidRPr="000D12E1" w:rsidRDefault="0030231E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75F19387" w14:textId="77777777" w:rsidR="00A35A8F" w:rsidRPr="000D12E1" w:rsidRDefault="00A35A8F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 xml:space="preserve">The Investment Appraisal Process still applies to projects that are not included in the Capital Programme, even where fully funded by the School or Faculty: the appropriate business case should be completed and approval of expenditure is required </w:t>
      </w:r>
      <w:r w:rsidR="00A12E6F" w:rsidRPr="000D12E1">
        <w:rPr>
          <w:rFonts w:ascii="Arial" w:hAnsi="Arial" w:cs="Arial"/>
          <w:sz w:val="24"/>
          <w:szCs w:val="24"/>
        </w:rPr>
        <w:t xml:space="preserve">at prescribed delegated authority levels </w:t>
      </w:r>
      <w:r w:rsidRPr="000D12E1">
        <w:rPr>
          <w:rFonts w:ascii="Arial" w:hAnsi="Arial" w:cs="Arial"/>
          <w:sz w:val="24"/>
          <w:szCs w:val="24"/>
        </w:rPr>
        <w:t xml:space="preserve">(see guidance at </w:t>
      </w:r>
      <w:hyperlink r:id="rId10" w:anchor="usefulinformation" w:history="1">
        <w:r w:rsidRPr="000D12E1">
          <w:rPr>
            <w:rStyle w:val="Hyperlink"/>
            <w:sz w:val="24"/>
            <w:szCs w:val="24"/>
          </w:rPr>
          <w:t>https://facilitiesdirectorate.leeds.ac.uk/investment-appraisal/#usefulinformation</w:t>
        </w:r>
      </w:hyperlink>
      <w:r w:rsidRPr="000D12E1">
        <w:rPr>
          <w:rFonts w:ascii="Arial" w:hAnsi="Arial" w:cs="Arial"/>
          <w:sz w:val="24"/>
          <w:szCs w:val="24"/>
        </w:rPr>
        <w:t>.)</w:t>
      </w:r>
    </w:p>
    <w:p w14:paraId="4FB597D4" w14:textId="77777777" w:rsidR="00A12E6F" w:rsidRPr="000D12E1" w:rsidRDefault="00A12E6F" w:rsidP="00925F9D">
      <w:pPr>
        <w:ind w:left="426" w:right="481"/>
        <w:rPr>
          <w:rFonts w:ascii="Arial" w:hAnsi="Arial" w:cs="Arial"/>
          <w:b/>
          <w:sz w:val="24"/>
          <w:szCs w:val="24"/>
        </w:rPr>
      </w:pPr>
    </w:p>
    <w:p w14:paraId="048E8E8A" w14:textId="04956533" w:rsidR="00A35A8F" w:rsidRPr="000D12E1" w:rsidRDefault="00A35A8F" w:rsidP="00F37976">
      <w:pPr>
        <w:pStyle w:val="Heading3"/>
      </w:pPr>
      <w:r w:rsidRPr="000D12E1">
        <w:t>Professional Services</w:t>
      </w:r>
      <w:r w:rsidR="00C346AB" w:rsidRPr="000D12E1">
        <w:t xml:space="preserve"> and </w:t>
      </w:r>
      <w:r w:rsidR="00D27867" w:rsidRPr="000D12E1">
        <w:t>C</w:t>
      </w:r>
      <w:r w:rsidR="00C346AB" w:rsidRPr="000D12E1">
        <w:t xml:space="preserve">ommunal </w:t>
      </w:r>
      <w:r w:rsidR="00D27867" w:rsidRPr="000D12E1">
        <w:t>S</w:t>
      </w:r>
      <w:r w:rsidR="00C346AB" w:rsidRPr="000D12E1">
        <w:t>pace</w:t>
      </w:r>
    </w:p>
    <w:p w14:paraId="72581690" w14:textId="77777777" w:rsidR="00925F9D" w:rsidRPr="000D12E1" w:rsidRDefault="00925F9D" w:rsidP="00925F9D">
      <w:pPr>
        <w:ind w:left="426" w:right="481"/>
        <w:rPr>
          <w:rFonts w:ascii="Arial" w:hAnsi="Arial" w:cs="Arial"/>
          <w:b/>
          <w:sz w:val="24"/>
          <w:szCs w:val="24"/>
        </w:rPr>
      </w:pPr>
    </w:p>
    <w:p w14:paraId="6BFEF489" w14:textId="77777777" w:rsidR="00C346AB" w:rsidRPr="000D12E1" w:rsidRDefault="00E36347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>Services projects are fully</w:t>
      </w:r>
      <w:r w:rsidR="00601525" w:rsidRPr="000D12E1">
        <w:rPr>
          <w:rFonts w:ascii="Arial" w:hAnsi="Arial" w:cs="Arial"/>
          <w:sz w:val="24"/>
          <w:szCs w:val="24"/>
        </w:rPr>
        <w:t xml:space="preserve"> </w:t>
      </w:r>
      <w:r w:rsidRPr="000D12E1">
        <w:rPr>
          <w:rFonts w:ascii="Arial" w:hAnsi="Arial" w:cs="Arial"/>
          <w:sz w:val="24"/>
          <w:szCs w:val="24"/>
        </w:rPr>
        <w:t>funded by the Capital Programme (</w:t>
      </w:r>
      <w:proofErr w:type="spellStart"/>
      <w:r w:rsidRPr="000D12E1">
        <w:rPr>
          <w:rFonts w:ascii="Arial" w:hAnsi="Arial" w:cs="Arial"/>
          <w:sz w:val="24"/>
          <w:szCs w:val="24"/>
        </w:rPr>
        <w:t>eg</w:t>
      </w:r>
      <w:proofErr w:type="spellEnd"/>
      <w:r w:rsidRPr="000D12E1">
        <w:rPr>
          <w:rFonts w:ascii="Arial" w:hAnsi="Arial" w:cs="Arial"/>
          <w:sz w:val="24"/>
          <w:szCs w:val="24"/>
        </w:rPr>
        <w:t xml:space="preserve"> </w:t>
      </w:r>
      <w:r w:rsidR="00214B29" w:rsidRPr="000D12E1">
        <w:rPr>
          <w:rFonts w:ascii="Arial" w:hAnsi="Arial" w:cs="Arial"/>
          <w:sz w:val="24"/>
          <w:szCs w:val="24"/>
        </w:rPr>
        <w:t>communal</w:t>
      </w:r>
      <w:r w:rsidRPr="000D12E1">
        <w:rPr>
          <w:rFonts w:ascii="Arial" w:hAnsi="Arial" w:cs="Arial"/>
          <w:sz w:val="24"/>
          <w:szCs w:val="24"/>
        </w:rPr>
        <w:t xml:space="preserve"> teaching space or Professional Services refurbishments)</w:t>
      </w:r>
      <w:r w:rsidR="00A35A8F" w:rsidRPr="000D12E1">
        <w:rPr>
          <w:rFonts w:ascii="Arial" w:hAnsi="Arial" w:cs="Arial"/>
          <w:sz w:val="24"/>
          <w:szCs w:val="24"/>
        </w:rPr>
        <w:t>, including equipment</w:t>
      </w:r>
      <w:r w:rsidR="002478F6" w:rsidRPr="000D12E1">
        <w:rPr>
          <w:rFonts w:ascii="Arial" w:hAnsi="Arial" w:cs="Arial"/>
          <w:sz w:val="24"/>
          <w:szCs w:val="24"/>
        </w:rPr>
        <w:t xml:space="preserve"> such as white goods in kitchens</w:t>
      </w:r>
      <w:r w:rsidR="00B82C91" w:rsidRPr="000D12E1">
        <w:rPr>
          <w:rFonts w:ascii="Arial" w:hAnsi="Arial" w:cs="Arial"/>
          <w:sz w:val="24"/>
          <w:szCs w:val="24"/>
        </w:rPr>
        <w:t xml:space="preserve"> </w:t>
      </w:r>
      <w:r w:rsidR="00A35A8F" w:rsidRPr="000D12E1">
        <w:rPr>
          <w:rFonts w:ascii="Arial" w:hAnsi="Arial" w:cs="Arial"/>
          <w:sz w:val="24"/>
          <w:szCs w:val="24"/>
        </w:rPr>
        <w:t xml:space="preserve">and </w:t>
      </w:r>
      <w:r w:rsidR="002478F6" w:rsidRPr="000D12E1">
        <w:rPr>
          <w:rFonts w:ascii="Arial" w:hAnsi="Arial" w:cs="Arial"/>
          <w:sz w:val="24"/>
          <w:szCs w:val="24"/>
        </w:rPr>
        <w:t>AV</w:t>
      </w:r>
      <w:r w:rsidR="00A35A8F" w:rsidRPr="000D12E1">
        <w:rPr>
          <w:rFonts w:ascii="Arial" w:hAnsi="Arial" w:cs="Arial"/>
          <w:sz w:val="24"/>
          <w:szCs w:val="24"/>
        </w:rPr>
        <w:t xml:space="preserve">. </w:t>
      </w:r>
    </w:p>
    <w:p w14:paraId="2EF812A6" w14:textId="77777777" w:rsidR="00C346AB" w:rsidRPr="000D12E1" w:rsidRDefault="00C346AB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7DF02CEA" w14:textId="77777777" w:rsidR="00EC3701" w:rsidRPr="000D12E1" w:rsidRDefault="00A35A8F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 xml:space="preserve">Services </w:t>
      </w:r>
      <w:r w:rsidR="002478F6" w:rsidRPr="000D12E1">
        <w:rPr>
          <w:rFonts w:ascii="Arial" w:hAnsi="Arial" w:cs="Arial"/>
          <w:sz w:val="24"/>
          <w:szCs w:val="24"/>
        </w:rPr>
        <w:t xml:space="preserve">will </w:t>
      </w:r>
      <w:r w:rsidRPr="000D12E1">
        <w:rPr>
          <w:rFonts w:ascii="Arial" w:hAnsi="Arial" w:cs="Arial"/>
          <w:sz w:val="24"/>
          <w:szCs w:val="24"/>
        </w:rPr>
        <w:t xml:space="preserve">continue to </w:t>
      </w:r>
      <w:r w:rsidR="002478F6" w:rsidRPr="000D12E1">
        <w:rPr>
          <w:rFonts w:ascii="Arial" w:hAnsi="Arial" w:cs="Arial"/>
          <w:sz w:val="24"/>
          <w:szCs w:val="24"/>
        </w:rPr>
        <w:t xml:space="preserve">cover </w:t>
      </w:r>
      <w:r w:rsidR="00C65295" w:rsidRPr="000D12E1">
        <w:rPr>
          <w:rFonts w:ascii="Arial" w:hAnsi="Arial" w:cs="Arial"/>
          <w:sz w:val="24"/>
          <w:szCs w:val="24"/>
        </w:rPr>
        <w:t xml:space="preserve">other </w:t>
      </w:r>
      <w:r w:rsidR="002478F6" w:rsidRPr="000D12E1">
        <w:rPr>
          <w:rFonts w:ascii="Arial" w:hAnsi="Arial" w:cs="Arial"/>
          <w:sz w:val="24"/>
          <w:szCs w:val="24"/>
        </w:rPr>
        <w:t>items funded by recurrent bud</w:t>
      </w:r>
      <w:r w:rsidR="00A6156C" w:rsidRPr="000D12E1">
        <w:rPr>
          <w:rFonts w:ascii="Arial" w:hAnsi="Arial" w:cs="Arial"/>
          <w:sz w:val="24"/>
          <w:szCs w:val="24"/>
        </w:rPr>
        <w:t>gets, such as PCs, photocopiers.</w:t>
      </w:r>
    </w:p>
    <w:p w14:paraId="01F7F935" w14:textId="77777777" w:rsidR="00CB1011" w:rsidRPr="000D12E1" w:rsidRDefault="00CB1011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212024D2" w14:textId="1EE710A0" w:rsidR="00C346AB" w:rsidRPr="000D12E1" w:rsidRDefault="00CB1011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>C</w:t>
      </w:r>
      <w:r w:rsidR="00C346AB" w:rsidRPr="000D12E1">
        <w:rPr>
          <w:rFonts w:ascii="Arial" w:hAnsi="Arial" w:cs="Arial"/>
          <w:sz w:val="24"/>
          <w:szCs w:val="24"/>
        </w:rPr>
        <w:t xml:space="preserve">offee bar servery refurbishments are funded by Great Food </w:t>
      </w:r>
      <w:r w:rsidR="007F08F7" w:rsidRPr="000D12E1">
        <w:rPr>
          <w:rFonts w:ascii="Arial" w:hAnsi="Arial" w:cs="Arial"/>
          <w:sz w:val="24"/>
          <w:szCs w:val="24"/>
        </w:rPr>
        <w:t>a</w:t>
      </w:r>
      <w:r w:rsidR="00C346AB" w:rsidRPr="000D12E1">
        <w:rPr>
          <w:rFonts w:ascii="Arial" w:hAnsi="Arial" w:cs="Arial"/>
          <w:sz w:val="24"/>
          <w:szCs w:val="24"/>
        </w:rPr>
        <w:t>t Leeds</w:t>
      </w:r>
      <w:r w:rsidR="007F08F7" w:rsidRPr="000D12E1">
        <w:rPr>
          <w:rFonts w:ascii="Arial" w:hAnsi="Arial" w:cs="Arial"/>
          <w:sz w:val="24"/>
          <w:szCs w:val="24"/>
        </w:rPr>
        <w:t xml:space="preserve"> (GFaL)</w:t>
      </w:r>
      <w:r w:rsidR="00C346AB" w:rsidRPr="000D12E1">
        <w:rPr>
          <w:rFonts w:ascii="Arial" w:hAnsi="Arial" w:cs="Arial"/>
          <w:sz w:val="24"/>
          <w:szCs w:val="24"/>
        </w:rPr>
        <w:t>, whilst communal social space associated with coffee bars is funded by the Capital Programme.</w:t>
      </w:r>
    </w:p>
    <w:p w14:paraId="21758C83" w14:textId="77777777" w:rsidR="00925F9D" w:rsidRPr="000D12E1" w:rsidRDefault="00925F9D" w:rsidP="00925F9D">
      <w:pPr>
        <w:ind w:left="426" w:right="481"/>
        <w:rPr>
          <w:rFonts w:ascii="Arial" w:hAnsi="Arial" w:cs="Arial"/>
          <w:sz w:val="24"/>
          <w:szCs w:val="24"/>
        </w:rPr>
      </w:pPr>
    </w:p>
    <w:p w14:paraId="25421E85" w14:textId="1ACE2591" w:rsidR="005970E8" w:rsidRPr="000D12E1" w:rsidRDefault="00A35A8F" w:rsidP="00F37976">
      <w:pPr>
        <w:pStyle w:val="Heading3"/>
      </w:pPr>
      <w:r w:rsidRPr="000D12E1">
        <w:t xml:space="preserve">All </w:t>
      </w:r>
      <w:r w:rsidR="00D27867" w:rsidRPr="000D12E1">
        <w:t>P</w:t>
      </w:r>
      <w:r w:rsidRPr="000D12E1">
        <w:t>rojects</w:t>
      </w:r>
    </w:p>
    <w:p w14:paraId="7183F879" w14:textId="77777777" w:rsidR="00925F9D" w:rsidRPr="000D12E1" w:rsidRDefault="00925F9D" w:rsidP="00925F9D">
      <w:pPr>
        <w:ind w:left="426" w:right="481"/>
        <w:rPr>
          <w:rFonts w:ascii="Arial" w:hAnsi="Arial" w:cs="Arial"/>
          <w:b/>
          <w:sz w:val="24"/>
          <w:szCs w:val="24"/>
        </w:rPr>
      </w:pPr>
    </w:p>
    <w:p w14:paraId="7499AA8E" w14:textId="77777777" w:rsidR="0030231E" w:rsidRPr="000D12E1" w:rsidRDefault="00773B0A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>F</w:t>
      </w:r>
      <w:r w:rsidR="00601525" w:rsidRPr="000D12E1">
        <w:rPr>
          <w:rFonts w:ascii="Arial" w:hAnsi="Arial" w:cs="Arial"/>
          <w:sz w:val="24"/>
          <w:szCs w:val="24"/>
        </w:rPr>
        <w:t xml:space="preserve">aculties </w:t>
      </w:r>
      <w:r w:rsidR="009241C5" w:rsidRPr="000D12E1">
        <w:rPr>
          <w:rFonts w:ascii="Arial" w:hAnsi="Arial" w:cs="Arial"/>
          <w:sz w:val="24"/>
          <w:szCs w:val="24"/>
        </w:rPr>
        <w:t xml:space="preserve">and Professional Services </w:t>
      </w:r>
      <w:r w:rsidR="00601525" w:rsidRPr="000D12E1">
        <w:rPr>
          <w:rFonts w:ascii="Arial" w:hAnsi="Arial" w:cs="Arial"/>
          <w:sz w:val="24"/>
          <w:szCs w:val="24"/>
        </w:rPr>
        <w:t xml:space="preserve">will pay 100% of costs for </w:t>
      </w:r>
      <w:r w:rsidR="00C04AC5" w:rsidRPr="000D12E1">
        <w:rPr>
          <w:rFonts w:ascii="Arial" w:hAnsi="Arial" w:cs="Arial"/>
          <w:sz w:val="24"/>
          <w:szCs w:val="24"/>
        </w:rPr>
        <w:t>loose</w:t>
      </w:r>
      <w:r w:rsidR="00601525" w:rsidRPr="000D12E1">
        <w:rPr>
          <w:rFonts w:ascii="Arial" w:hAnsi="Arial" w:cs="Arial"/>
          <w:sz w:val="24"/>
          <w:szCs w:val="24"/>
        </w:rPr>
        <w:t xml:space="preserve"> equipment in </w:t>
      </w:r>
      <w:r w:rsidR="00DF382B" w:rsidRPr="000D12E1">
        <w:rPr>
          <w:rFonts w:ascii="Arial" w:hAnsi="Arial" w:cs="Arial"/>
          <w:sz w:val="24"/>
          <w:szCs w:val="24"/>
        </w:rPr>
        <w:t>their</w:t>
      </w:r>
      <w:r w:rsidR="00601525" w:rsidRPr="000D12E1">
        <w:rPr>
          <w:rFonts w:ascii="Arial" w:hAnsi="Arial" w:cs="Arial"/>
          <w:sz w:val="24"/>
          <w:szCs w:val="24"/>
        </w:rPr>
        <w:t xml:space="preserve"> </w:t>
      </w:r>
      <w:r w:rsidR="0058078C" w:rsidRPr="000D12E1">
        <w:rPr>
          <w:rFonts w:ascii="Arial" w:hAnsi="Arial" w:cs="Arial"/>
          <w:sz w:val="24"/>
          <w:szCs w:val="24"/>
        </w:rPr>
        <w:t>space</w:t>
      </w:r>
      <w:r w:rsidR="0030231E" w:rsidRPr="000D12E1">
        <w:rPr>
          <w:rFonts w:ascii="Arial" w:hAnsi="Arial" w:cs="Arial"/>
          <w:sz w:val="24"/>
          <w:szCs w:val="24"/>
        </w:rPr>
        <w:t>;</w:t>
      </w:r>
      <w:r w:rsidR="00601525" w:rsidRPr="000D12E1">
        <w:rPr>
          <w:rFonts w:ascii="Arial" w:hAnsi="Arial" w:cs="Arial"/>
          <w:sz w:val="24"/>
          <w:szCs w:val="24"/>
        </w:rPr>
        <w:t xml:space="preserve"> th</w:t>
      </w:r>
      <w:r w:rsidR="00C04AC5" w:rsidRPr="000D12E1">
        <w:rPr>
          <w:rFonts w:ascii="Arial" w:hAnsi="Arial" w:cs="Arial"/>
          <w:sz w:val="24"/>
          <w:szCs w:val="24"/>
        </w:rPr>
        <w:t>e</w:t>
      </w:r>
      <w:r w:rsidR="00601525" w:rsidRPr="000D12E1">
        <w:rPr>
          <w:rFonts w:ascii="Arial" w:hAnsi="Arial" w:cs="Arial"/>
          <w:sz w:val="24"/>
          <w:szCs w:val="24"/>
        </w:rPr>
        <w:t xml:space="preserve">se items are </w:t>
      </w:r>
      <w:r w:rsidR="00C04AC5" w:rsidRPr="000D12E1">
        <w:rPr>
          <w:rFonts w:ascii="Arial" w:hAnsi="Arial" w:cs="Arial"/>
          <w:sz w:val="24"/>
          <w:szCs w:val="24"/>
        </w:rPr>
        <w:t>usually excluded from</w:t>
      </w:r>
      <w:r w:rsidR="00E36347" w:rsidRPr="000D12E1">
        <w:rPr>
          <w:rFonts w:ascii="Arial" w:hAnsi="Arial" w:cs="Arial"/>
          <w:sz w:val="24"/>
          <w:szCs w:val="24"/>
        </w:rPr>
        <w:t xml:space="preserve"> total project costs</w:t>
      </w:r>
      <w:r w:rsidR="00CB3ED3" w:rsidRPr="000D12E1">
        <w:rPr>
          <w:rFonts w:ascii="Arial" w:hAnsi="Arial" w:cs="Arial"/>
          <w:sz w:val="24"/>
          <w:szCs w:val="24"/>
        </w:rPr>
        <w:t xml:space="preserve"> within the Capital Programme</w:t>
      </w:r>
      <w:r w:rsidR="0030231E" w:rsidRPr="000D12E1">
        <w:rPr>
          <w:rFonts w:ascii="Arial" w:hAnsi="Arial" w:cs="Arial"/>
          <w:sz w:val="24"/>
          <w:szCs w:val="24"/>
        </w:rPr>
        <w:t xml:space="preserve"> as they are not fixed by the contractor, </w:t>
      </w:r>
      <w:proofErr w:type="gramStart"/>
      <w:r w:rsidR="00601525" w:rsidRPr="000D12E1">
        <w:rPr>
          <w:rFonts w:ascii="Arial" w:hAnsi="Arial" w:cs="Arial"/>
          <w:sz w:val="24"/>
          <w:szCs w:val="24"/>
        </w:rPr>
        <w:t>e</w:t>
      </w:r>
      <w:r w:rsidRPr="000D12E1">
        <w:rPr>
          <w:rFonts w:ascii="Arial" w:hAnsi="Arial" w:cs="Arial"/>
          <w:sz w:val="24"/>
          <w:szCs w:val="24"/>
        </w:rPr>
        <w:t>.</w:t>
      </w:r>
      <w:r w:rsidR="00601525" w:rsidRPr="000D12E1">
        <w:rPr>
          <w:rFonts w:ascii="Arial" w:hAnsi="Arial" w:cs="Arial"/>
          <w:sz w:val="24"/>
          <w:szCs w:val="24"/>
        </w:rPr>
        <w:t>g</w:t>
      </w:r>
      <w:r w:rsidRPr="000D12E1">
        <w:rPr>
          <w:rFonts w:ascii="Arial" w:hAnsi="Arial" w:cs="Arial"/>
          <w:sz w:val="24"/>
          <w:szCs w:val="24"/>
        </w:rPr>
        <w:t>.</w:t>
      </w:r>
      <w:proofErr w:type="gramEnd"/>
      <w:r w:rsidR="00601525" w:rsidRPr="000D12E1">
        <w:rPr>
          <w:rFonts w:ascii="Arial" w:hAnsi="Arial" w:cs="Arial"/>
          <w:sz w:val="24"/>
          <w:szCs w:val="24"/>
        </w:rPr>
        <w:t xml:space="preserve"> PCs on desks, photocopiers</w:t>
      </w:r>
      <w:r w:rsidR="00582152" w:rsidRPr="000D12E1">
        <w:rPr>
          <w:rFonts w:ascii="Arial" w:hAnsi="Arial" w:cs="Arial"/>
          <w:sz w:val="24"/>
          <w:szCs w:val="24"/>
        </w:rPr>
        <w:t>, phones</w:t>
      </w:r>
      <w:r w:rsidR="00601525" w:rsidRPr="000D12E1">
        <w:rPr>
          <w:rFonts w:ascii="Arial" w:hAnsi="Arial" w:cs="Arial"/>
          <w:sz w:val="24"/>
          <w:szCs w:val="24"/>
        </w:rPr>
        <w:t xml:space="preserve"> etc</w:t>
      </w:r>
      <w:r w:rsidR="0030231E" w:rsidRPr="000D12E1">
        <w:rPr>
          <w:rFonts w:ascii="Arial" w:hAnsi="Arial" w:cs="Arial"/>
          <w:sz w:val="24"/>
          <w:szCs w:val="24"/>
        </w:rPr>
        <w:t>.  T</w:t>
      </w:r>
      <w:r w:rsidR="00601525" w:rsidRPr="000D12E1">
        <w:rPr>
          <w:rFonts w:ascii="Arial" w:hAnsi="Arial" w:cs="Arial"/>
          <w:sz w:val="24"/>
          <w:szCs w:val="24"/>
        </w:rPr>
        <w:t xml:space="preserve">he </w:t>
      </w:r>
      <w:r w:rsidR="00935CA9" w:rsidRPr="000D12E1">
        <w:rPr>
          <w:rFonts w:ascii="Arial" w:hAnsi="Arial" w:cs="Arial"/>
          <w:sz w:val="24"/>
          <w:szCs w:val="24"/>
        </w:rPr>
        <w:t>Faculty</w:t>
      </w:r>
      <w:r w:rsidR="00147549" w:rsidRPr="000D12E1">
        <w:rPr>
          <w:rFonts w:ascii="Arial" w:hAnsi="Arial" w:cs="Arial"/>
          <w:sz w:val="24"/>
          <w:szCs w:val="24"/>
        </w:rPr>
        <w:t>/</w:t>
      </w:r>
      <w:r w:rsidR="00254FBE" w:rsidRPr="000D12E1">
        <w:rPr>
          <w:rFonts w:ascii="Arial" w:hAnsi="Arial" w:cs="Arial"/>
          <w:sz w:val="24"/>
          <w:szCs w:val="24"/>
        </w:rPr>
        <w:t>S</w:t>
      </w:r>
      <w:r w:rsidR="00147549" w:rsidRPr="000D12E1">
        <w:rPr>
          <w:rFonts w:ascii="Arial" w:hAnsi="Arial" w:cs="Arial"/>
          <w:sz w:val="24"/>
          <w:szCs w:val="24"/>
        </w:rPr>
        <w:t>ervice</w:t>
      </w:r>
      <w:r w:rsidR="00935CA9" w:rsidRPr="000D12E1">
        <w:rPr>
          <w:rFonts w:ascii="Arial" w:hAnsi="Arial" w:cs="Arial"/>
          <w:sz w:val="24"/>
          <w:szCs w:val="24"/>
        </w:rPr>
        <w:t xml:space="preserve"> </w:t>
      </w:r>
      <w:r w:rsidR="00601525" w:rsidRPr="000D12E1">
        <w:rPr>
          <w:rFonts w:ascii="Arial" w:hAnsi="Arial" w:cs="Arial"/>
          <w:sz w:val="24"/>
          <w:szCs w:val="24"/>
        </w:rPr>
        <w:t>pays 100% of costs, including any delivery and set-up costs</w:t>
      </w:r>
      <w:r w:rsidR="00F50DE2" w:rsidRPr="000D12E1">
        <w:rPr>
          <w:rFonts w:ascii="Arial" w:hAnsi="Arial" w:cs="Arial"/>
          <w:sz w:val="24"/>
          <w:szCs w:val="24"/>
        </w:rPr>
        <w:t>, and is responsible for procuring these items</w:t>
      </w:r>
      <w:r w:rsidR="005975FB" w:rsidRPr="000D12E1">
        <w:rPr>
          <w:rFonts w:ascii="Arial" w:hAnsi="Arial" w:cs="Arial"/>
          <w:sz w:val="24"/>
          <w:szCs w:val="24"/>
        </w:rPr>
        <w:t xml:space="preserve">. </w:t>
      </w:r>
    </w:p>
    <w:p w14:paraId="46310C69" w14:textId="77777777" w:rsidR="0030231E" w:rsidRPr="000D12E1" w:rsidRDefault="0030231E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62B5F7AD" w14:textId="77777777" w:rsidR="00601525" w:rsidRPr="000D12E1" w:rsidRDefault="005975FB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 xml:space="preserve">Some loose equipment is also procured through the building contract so that it can be commissioned by the contractor, such as AV equipment or plasma screens; in this scenario Faculties will pay 100% of the costs of this equipment, whilst the Capital Programme will pay 100% </w:t>
      </w:r>
      <w:r w:rsidR="00A6156C" w:rsidRPr="000D12E1">
        <w:rPr>
          <w:rFonts w:ascii="Arial" w:hAnsi="Arial" w:cs="Arial"/>
          <w:sz w:val="24"/>
          <w:szCs w:val="24"/>
        </w:rPr>
        <w:t>for</w:t>
      </w:r>
      <w:r w:rsidRPr="000D12E1">
        <w:rPr>
          <w:rFonts w:ascii="Arial" w:hAnsi="Arial" w:cs="Arial"/>
          <w:sz w:val="24"/>
          <w:szCs w:val="24"/>
        </w:rPr>
        <w:t xml:space="preserve"> Professional Services.</w:t>
      </w:r>
    </w:p>
    <w:p w14:paraId="79EB9863" w14:textId="77777777" w:rsidR="0037758C" w:rsidRPr="000D12E1" w:rsidRDefault="0037758C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5E42076C" w14:textId="77777777" w:rsidR="0037758C" w:rsidRPr="000D12E1" w:rsidRDefault="007F08F7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>D</w:t>
      </w:r>
      <w:r w:rsidR="0037758C" w:rsidRPr="000D12E1">
        <w:rPr>
          <w:rFonts w:ascii="Arial" w:hAnsi="Arial" w:cs="Arial"/>
          <w:sz w:val="24"/>
          <w:szCs w:val="24"/>
        </w:rPr>
        <w:t xml:space="preserve">isposal of </w:t>
      </w:r>
      <w:r w:rsidRPr="000D12E1">
        <w:rPr>
          <w:rFonts w:ascii="Arial" w:hAnsi="Arial" w:cs="Arial"/>
          <w:sz w:val="24"/>
          <w:szCs w:val="24"/>
        </w:rPr>
        <w:t xml:space="preserve">unwanted </w:t>
      </w:r>
      <w:r w:rsidR="0037758C" w:rsidRPr="000D12E1">
        <w:rPr>
          <w:rFonts w:ascii="Arial" w:hAnsi="Arial" w:cs="Arial"/>
          <w:sz w:val="24"/>
          <w:szCs w:val="24"/>
        </w:rPr>
        <w:t>loose</w:t>
      </w:r>
      <w:r w:rsidR="00976E4B" w:rsidRPr="000D12E1">
        <w:rPr>
          <w:rFonts w:ascii="Arial" w:hAnsi="Arial" w:cs="Arial"/>
          <w:sz w:val="24"/>
          <w:szCs w:val="24"/>
        </w:rPr>
        <w:t xml:space="preserve"> equipment including </w:t>
      </w:r>
      <w:r w:rsidRPr="000D12E1">
        <w:rPr>
          <w:rFonts w:ascii="Arial" w:hAnsi="Arial" w:cs="Arial"/>
          <w:sz w:val="24"/>
          <w:szCs w:val="24"/>
        </w:rPr>
        <w:t>research</w:t>
      </w:r>
      <w:r w:rsidR="0037758C" w:rsidRPr="000D12E1">
        <w:rPr>
          <w:rFonts w:ascii="Arial" w:hAnsi="Arial" w:cs="Arial"/>
          <w:sz w:val="24"/>
          <w:szCs w:val="24"/>
        </w:rPr>
        <w:t xml:space="preserve"> equipment is the responsib</w:t>
      </w:r>
      <w:r w:rsidR="00371B21" w:rsidRPr="000D12E1">
        <w:rPr>
          <w:rFonts w:ascii="Arial" w:hAnsi="Arial" w:cs="Arial"/>
          <w:sz w:val="24"/>
          <w:szCs w:val="24"/>
        </w:rPr>
        <w:t xml:space="preserve">ility of the Faculty or Service, this includes de-commissioning of labs and subsequent decontamination.  </w:t>
      </w:r>
    </w:p>
    <w:p w14:paraId="2623A502" w14:textId="77777777" w:rsidR="005970E8" w:rsidRPr="000D12E1" w:rsidRDefault="005970E8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407E1159" w14:textId="77777777" w:rsidR="00601525" w:rsidRPr="000D12E1" w:rsidRDefault="00601525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>Removal</w:t>
      </w:r>
      <w:r w:rsidR="00CD689B" w:rsidRPr="000D12E1">
        <w:rPr>
          <w:rFonts w:ascii="Arial" w:hAnsi="Arial" w:cs="Arial"/>
          <w:sz w:val="24"/>
          <w:szCs w:val="24"/>
        </w:rPr>
        <w:t>/</w:t>
      </w:r>
      <w:r w:rsidRPr="000D12E1">
        <w:rPr>
          <w:rFonts w:ascii="Arial" w:hAnsi="Arial" w:cs="Arial"/>
          <w:sz w:val="24"/>
          <w:szCs w:val="24"/>
        </w:rPr>
        <w:t>decant costs are within project costs</w:t>
      </w:r>
      <w:r w:rsidR="00DD2204" w:rsidRPr="000D12E1">
        <w:rPr>
          <w:rFonts w:ascii="Arial" w:hAnsi="Arial" w:cs="Arial"/>
          <w:sz w:val="24"/>
          <w:szCs w:val="24"/>
        </w:rPr>
        <w:t>,</w:t>
      </w:r>
      <w:r w:rsidRPr="000D12E1">
        <w:rPr>
          <w:rFonts w:ascii="Arial" w:hAnsi="Arial" w:cs="Arial"/>
          <w:sz w:val="24"/>
          <w:szCs w:val="24"/>
        </w:rPr>
        <w:t xml:space="preserve"> </w:t>
      </w:r>
      <w:r w:rsidR="00A74871" w:rsidRPr="000D12E1">
        <w:rPr>
          <w:rFonts w:ascii="Arial" w:hAnsi="Arial" w:cs="Arial"/>
          <w:sz w:val="24"/>
          <w:szCs w:val="24"/>
        </w:rPr>
        <w:t xml:space="preserve">as is disposal of redundant furniture or </w:t>
      </w:r>
      <w:r w:rsidR="005970E8" w:rsidRPr="000D12E1">
        <w:rPr>
          <w:rFonts w:ascii="Arial" w:hAnsi="Arial" w:cs="Arial"/>
          <w:sz w:val="24"/>
          <w:szCs w:val="24"/>
        </w:rPr>
        <w:t xml:space="preserve">fixed </w:t>
      </w:r>
      <w:r w:rsidR="00A74871" w:rsidRPr="000D12E1">
        <w:rPr>
          <w:rFonts w:ascii="Arial" w:hAnsi="Arial" w:cs="Arial"/>
          <w:sz w:val="24"/>
          <w:szCs w:val="24"/>
        </w:rPr>
        <w:t xml:space="preserve">specialist equipment, </w:t>
      </w:r>
      <w:r w:rsidR="00CD689B" w:rsidRPr="000D12E1">
        <w:rPr>
          <w:rFonts w:ascii="Arial" w:hAnsi="Arial" w:cs="Arial"/>
          <w:sz w:val="24"/>
          <w:szCs w:val="24"/>
        </w:rPr>
        <w:t>so a 1</w:t>
      </w:r>
      <w:r w:rsidRPr="000D12E1">
        <w:rPr>
          <w:rFonts w:ascii="Arial" w:hAnsi="Arial" w:cs="Arial"/>
          <w:sz w:val="24"/>
          <w:szCs w:val="24"/>
        </w:rPr>
        <w:t xml:space="preserve">0% </w:t>
      </w:r>
      <w:r w:rsidR="0058078C" w:rsidRPr="000D12E1">
        <w:rPr>
          <w:rFonts w:ascii="Arial" w:hAnsi="Arial" w:cs="Arial"/>
          <w:sz w:val="24"/>
          <w:szCs w:val="24"/>
        </w:rPr>
        <w:t>F</w:t>
      </w:r>
      <w:r w:rsidRPr="000D12E1">
        <w:rPr>
          <w:rFonts w:ascii="Arial" w:hAnsi="Arial" w:cs="Arial"/>
          <w:sz w:val="24"/>
          <w:szCs w:val="24"/>
        </w:rPr>
        <w:t>aculty contribution</w:t>
      </w:r>
      <w:r w:rsidR="00CD689B" w:rsidRPr="000D12E1">
        <w:rPr>
          <w:rFonts w:ascii="Arial" w:hAnsi="Arial" w:cs="Arial"/>
          <w:sz w:val="24"/>
          <w:szCs w:val="24"/>
        </w:rPr>
        <w:t xml:space="preserve"> applies</w:t>
      </w:r>
      <w:r w:rsidR="00516C32" w:rsidRPr="000D12E1">
        <w:rPr>
          <w:rFonts w:ascii="Arial" w:hAnsi="Arial" w:cs="Arial"/>
          <w:sz w:val="24"/>
          <w:szCs w:val="24"/>
        </w:rPr>
        <w:t>, with no contribution from Professional Services</w:t>
      </w:r>
      <w:r w:rsidR="00CB3ED3" w:rsidRPr="000D12E1">
        <w:rPr>
          <w:rFonts w:ascii="Arial" w:hAnsi="Arial" w:cs="Arial"/>
          <w:sz w:val="24"/>
          <w:szCs w:val="24"/>
        </w:rPr>
        <w:t>.</w:t>
      </w:r>
      <w:r w:rsidR="007F08F7" w:rsidRPr="000D12E1">
        <w:rPr>
          <w:rFonts w:ascii="Arial" w:hAnsi="Arial" w:cs="Arial"/>
          <w:sz w:val="24"/>
          <w:szCs w:val="24"/>
        </w:rPr>
        <w:t xml:space="preserve">  </w:t>
      </w:r>
      <w:r w:rsidR="00371B21" w:rsidRPr="000D12E1">
        <w:rPr>
          <w:rFonts w:ascii="Arial" w:hAnsi="Arial" w:cs="Arial"/>
          <w:sz w:val="24"/>
          <w:szCs w:val="24"/>
        </w:rPr>
        <w:t xml:space="preserve">This includes re-location of fixed specialist equipment, or replacement in a new location if existing equipment cannot be moved, </w:t>
      </w:r>
      <w:proofErr w:type="spellStart"/>
      <w:r w:rsidR="00371B21" w:rsidRPr="000D12E1">
        <w:rPr>
          <w:rFonts w:ascii="Arial" w:hAnsi="Arial" w:cs="Arial"/>
          <w:sz w:val="24"/>
          <w:szCs w:val="24"/>
        </w:rPr>
        <w:t>eg</w:t>
      </w:r>
      <w:proofErr w:type="spellEnd"/>
      <w:r w:rsidR="00371B21" w:rsidRPr="000D12E1">
        <w:rPr>
          <w:rFonts w:ascii="Arial" w:hAnsi="Arial" w:cs="Arial"/>
          <w:sz w:val="24"/>
          <w:szCs w:val="24"/>
        </w:rPr>
        <w:t xml:space="preserve"> cold rooms, fume cupboards etc, ie project-driven costs.</w:t>
      </w:r>
    </w:p>
    <w:p w14:paraId="3F6C5215" w14:textId="77777777" w:rsidR="005970E8" w:rsidRPr="000D12E1" w:rsidRDefault="005970E8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3995C5CC" w14:textId="77777777" w:rsidR="00601525" w:rsidRPr="000D12E1" w:rsidRDefault="00601525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 xml:space="preserve">Signage (internal and external) is </w:t>
      </w:r>
      <w:r w:rsidR="00CD689B" w:rsidRPr="000D12E1">
        <w:rPr>
          <w:rFonts w:ascii="Arial" w:hAnsi="Arial" w:cs="Arial"/>
          <w:sz w:val="24"/>
          <w:szCs w:val="24"/>
        </w:rPr>
        <w:t>within</w:t>
      </w:r>
      <w:r w:rsidRPr="000D12E1">
        <w:rPr>
          <w:rFonts w:ascii="Arial" w:hAnsi="Arial" w:cs="Arial"/>
          <w:sz w:val="24"/>
          <w:szCs w:val="24"/>
        </w:rPr>
        <w:t xml:space="preserve"> project costs</w:t>
      </w:r>
      <w:r w:rsidR="00DD2204" w:rsidRPr="000D12E1">
        <w:rPr>
          <w:rFonts w:ascii="Arial" w:hAnsi="Arial" w:cs="Arial"/>
          <w:sz w:val="24"/>
          <w:szCs w:val="24"/>
        </w:rPr>
        <w:t>,</w:t>
      </w:r>
      <w:r w:rsidRPr="000D12E1">
        <w:rPr>
          <w:rFonts w:ascii="Arial" w:hAnsi="Arial" w:cs="Arial"/>
          <w:sz w:val="24"/>
          <w:szCs w:val="24"/>
        </w:rPr>
        <w:t xml:space="preserve"> so a 10% </w:t>
      </w:r>
      <w:r w:rsidR="0058078C" w:rsidRPr="000D12E1">
        <w:rPr>
          <w:rFonts w:ascii="Arial" w:hAnsi="Arial" w:cs="Arial"/>
          <w:sz w:val="24"/>
          <w:szCs w:val="24"/>
        </w:rPr>
        <w:t>F</w:t>
      </w:r>
      <w:r w:rsidRPr="000D12E1">
        <w:rPr>
          <w:rFonts w:ascii="Arial" w:hAnsi="Arial" w:cs="Arial"/>
          <w:sz w:val="24"/>
          <w:szCs w:val="24"/>
        </w:rPr>
        <w:t>aculty contribution</w:t>
      </w:r>
      <w:r w:rsidR="00CD689B" w:rsidRPr="000D12E1">
        <w:rPr>
          <w:rFonts w:ascii="Arial" w:hAnsi="Arial" w:cs="Arial"/>
          <w:sz w:val="24"/>
          <w:szCs w:val="24"/>
        </w:rPr>
        <w:t xml:space="preserve"> applies</w:t>
      </w:r>
      <w:r w:rsidR="00516C32" w:rsidRPr="000D12E1">
        <w:rPr>
          <w:rFonts w:ascii="Arial" w:hAnsi="Arial" w:cs="Arial"/>
          <w:sz w:val="24"/>
          <w:szCs w:val="24"/>
        </w:rPr>
        <w:t>, with no contribution from Professional Services</w:t>
      </w:r>
      <w:r w:rsidR="00CB3ED3" w:rsidRPr="000D12E1">
        <w:rPr>
          <w:rFonts w:ascii="Arial" w:hAnsi="Arial" w:cs="Arial"/>
          <w:sz w:val="24"/>
          <w:szCs w:val="24"/>
        </w:rPr>
        <w:t>.</w:t>
      </w:r>
      <w:r w:rsidR="00582152" w:rsidRPr="000D12E1">
        <w:rPr>
          <w:rFonts w:ascii="Arial" w:hAnsi="Arial" w:cs="Arial"/>
          <w:sz w:val="24"/>
          <w:szCs w:val="24"/>
        </w:rPr>
        <w:t xml:space="preserve">  </w:t>
      </w:r>
    </w:p>
    <w:p w14:paraId="41D1F89A" w14:textId="77777777" w:rsidR="005970E8" w:rsidRPr="000D12E1" w:rsidRDefault="005970E8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2F3B0F74" w14:textId="25CD068D" w:rsidR="00652D55" w:rsidRPr="000D12E1" w:rsidRDefault="00652D55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lastRenderedPageBreak/>
        <w:t>Automated locking system</w:t>
      </w:r>
      <w:r w:rsidR="005C007E" w:rsidRPr="000D12E1">
        <w:rPr>
          <w:rFonts w:ascii="Arial" w:hAnsi="Arial" w:cs="Arial"/>
          <w:sz w:val="24"/>
          <w:szCs w:val="24"/>
        </w:rPr>
        <w:t>s</w:t>
      </w:r>
      <w:r w:rsidRPr="000D12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12E1">
        <w:rPr>
          <w:rFonts w:ascii="Arial" w:hAnsi="Arial" w:cs="Arial"/>
          <w:sz w:val="24"/>
          <w:szCs w:val="24"/>
        </w:rPr>
        <w:t>e.g.</w:t>
      </w:r>
      <w:proofErr w:type="gramEnd"/>
      <w:r w:rsidRPr="000D12E1">
        <w:rPr>
          <w:rFonts w:ascii="Arial" w:hAnsi="Arial" w:cs="Arial"/>
          <w:sz w:val="24"/>
          <w:szCs w:val="24"/>
        </w:rPr>
        <w:t xml:space="preserve"> Simon</w:t>
      </w:r>
      <w:r w:rsidR="00254FBE" w:rsidRPr="000D12E1">
        <w:rPr>
          <w:rFonts w:ascii="Arial" w:hAnsi="Arial" w:cs="Arial"/>
          <w:sz w:val="24"/>
          <w:szCs w:val="24"/>
        </w:rPr>
        <w:t>s</w:t>
      </w:r>
      <w:r w:rsidRPr="000D12E1">
        <w:rPr>
          <w:rFonts w:ascii="Arial" w:hAnsi="Arial" w:cs="Arial"/>
          <w:sz w:val="24"/>
          <w:szCs w:val="24"/>
        </w:rPr>
        <w:t xml:space="preserve"> Voss</w:t>
      </w:r>
      <w:r w:rsidR="00147549" w:rsidRPr="000D12E1">
        <w:rPr>
          <w:rFonts w:ascii="Arial" w:hAnsi="Arial" w:cs="Arial"/>
          <w:sz w:val="24"/>
          <w:szCs w:val="24"/>
        </w:rPr>
        <w:t>,</w:t>
      </w:r>
      <w:r w:rsidRPr="000D12E1">
        <w:rPr>
          <w:rFonts w:ascii="Arial" w:hAnsi="Arial" w:cs="Arial"/>
          <w:sz w:val="24"/>
          <w:szCs w:val="24"/>
        </w:rPr>
        <w:t xml:space="preserve"> </w:t>
      </w:r>
      <w:r w:rsidR="001119B1" w:rsidRPr="000D12E1">
        <w:rPr>
          <w:rFonts w:ascii="Arial" w:hAnsi="Arial" w:cs="Arial"/>
          <w:sz w:val="24"/>
          <w:szCs w:val="24"/>
        </w:rPr>
        <w:t xml:space="preserve">or CCTV, </w:t>
      </w:r>
      <w:r w:rsidRPr="000D12E1">
        <w:rPr>
          <w:rFonts w:ascii="Arial" w:hAnsi="Arial" w:cs="Arial"/>
          <w:sz w:val="24"/>
          <w:szCs w:val="24"/>
        </w:rPr>
        <w:t>on internal access points</w:t>
      </w:r>
      <w:r w:rsidR="00147549" w:rsidRPr="000D12E1">
        <w:rPr>
          <w:rFonts w:ascii="Arial" w:hAnsi="Arial" w:cs="Arial"/>
          <w:sz w:val="24"/>
          <w:szCs w:val="24"/>
        </w:rPr>
        <w:t>,</w:t>
      </w:r>
      <w:r w:rsidRPr="000D12E1">
        <w:rPr>
          <w:rFonts w:ascii="Arial" w:hAnsi="Arial" w:cs="Arial"/>
          <w:sz w:val="24"/>
          <w:szCs w:val="24"/>
        </w:rPr>
        <w:t xml:space="preserve"> </w:t>
      </w:r>
      <w:r w:rsidR="00CB3ED3" w:rsidRPr="000D12E1">
        <w:rPr>
          <w:rFonts w:ascii="Arial" w:hAnsi="Arial" w:cs="Arial"/>
          <w:sz w:val="24"/>
          <w:szCs w:val="24"/>
        </w:rPr>
        <w:t>are</w:t>
      </w:r>
      <w:r w:rsidRPr="000D12E1">
        <w:rPr>
          <w:rFonts w:ascii="Arial" w:hAnsi="Arial" w:cs="Arial"/>
          <w:sz w:val="24"/>
          <w:szCs w:val="24"/>
        </w:rPr>
        <w:t xml:space="preserve"> not funded by project</w:t>
      </w:r>
      <w:r w:rsidR="00D521D5" w:rsidRPr="000D12E1">
        <w:rPr>
          <w:rFonts w:ascii="Arial" w:hAnsi="Arial" w:cs="Arial"/>
          <w:sz w:val="24"/>
          <w:szCs w:val="24"/>
        </w:rPr>
        <w:t>s</w:t>
      </w:r>
      <w:r w:rsidR="00CB3ED3" w:rsidRPr="000D12E1">
        <w:rPr>
          <w:rFonts w:ascii="Arial" w:hAnsi="Arial" w:cs="Arial"/>
          <w:sz w:val="24"/>
          <w:szCs w:val="24"/>
        </w:rPr>
        <w:t>,</w:t>
      </w:r>
      <w:r w:rsidR="00D521D5" w:rsidRPr="000D12E1">
        <w:rPr>
          <w:rFonts w:ascii="Arial" w:hAnsi="Arial" w:cs="Arial"/>
          <w:sz w:val="24"/>
          <w:szCs w:val="24"/>
        </w:rPr>
        <w:t xml:space="preserve"> and</w:t>
      </w:r>
      <w:r w:rsidR="001C0AD6" w:rsidRPr="000D12E1">
        <w:rPr>
          <w:rFonts w:ascii="Arial" w:hAnsi="Arial" w:cs="Arial"/>
          <w:sz w:val="24"/>
          <w:szCs w:val="24"/>
        </w:rPr>
        <w:t xml:space="preserve"> mechanical locks will be supplied</w:t>
      </w:r>
      <w:r w:rsidR="00D521D5" w:rsidRPr="000D12E1">
        <w:rPr>
          <w:rFonts w:ascii="Arial" w:hAnsi="Arial" w:cs="Arial"/>
          <w:sz w:val="24"/>
          <w:szCs w:val="24"/>
        </w:rPr>
        <w:t xml:space="preserve"> as standard</w:t>
      </w:r>
      <w:r w:rsidR="00CB3ED3" w:rsidRPr="000D12E1">
        <w:rPr>
          <w:rFonts w:ascii="Arial" w:hAnsi="Arial" w:cs="Arial"/>
          <w:sz w:val="24"/>
          <w:szCs w:val="24"/>
        </w:rPr>
        <w:t>.</w:t>
      </w:r>
      <w:r w:rsidR="00D521D5" w:rsidRPr="000D12E1">
        <w:rPr>
          <w:rFonts w:ascii="Arial" w:hAnsi="Arial" w:cs="Arial"/>
          <w:sz w:val="24"/>
          <w:szCs w:val="24"/>
        </w:rPr>
        <w:t xml:space="preserve"> Simons Voss will be supplied on external doors and on laboratory doors where security is an issue, and external CCTV will be provided on main entrance doors where necessary (</w:t>
      </w:r>
      <w:r w:rsidR="00CB3ED3" w:rsidRPr="000D12E1">
        <w:rPr>
          <w:rFonts w:ascii="Arial" w:hAnsi="Arial" w:cs="Arial"/>
          <w:sz w:val="24"/>
          <w:szCs w:val="24"/>
        </w:rPr>
        <w:t xml:space="preserve">supported by Security).  </w:t>
      </w:r>
      <w:r w:rsidR="000E6B86" w:rsidRPr="000D12E1">
        <w:rPr>
          <w:rFonts w:ascii="Arial" w:hAnsi="Arial" w:cs="Arial"/>
          <w:sz w:val="24"/>
          <w:szCs w:val="24"/>
        </w:rPr>
        <w:t>A</w:t>
      </w:r>
      <w:r w:rsidR="00516C32" w:rsidRPr="000D12E1">
        <w:rPr>
          <w:rFonts w:ascii="Arial" w:hAnsi="Arial" w:cs="Arial"/>
          <w:sz w:val="24"/>
          <w:szCs w:val="24"/>
        </w:rPr>
        <w:t xml:space="preserve">dditional automated locking </w:t>
      </w:r>
      <w:r w:rsidR="000E6B86" w:rsidRPr="000D12E1">
        <w:rPr>
          <w:rFonts w:ascii="Arial" w:hAnsi="Arial" w:cs="Arial"/>
          <w:sz w:val="24"/>
          <w:szCs w:val="24"/>
        </w:rPr>
        <w:t>needs must be identified early by</w:t>
      </w:r>
      <w:r w:rsidRPr="000D12E1">
        <w:rPr>
          <w:rFonts w:ascii="Arial" w:hAnsi="Arial" w:cs="Arial"/>
          <w:sz w:val="24"/>
          <w:szCs w:val="24"/>
        </w:rPr>
        <w:t xml:space="preserve"> the Faculty</w:t>
      </w:r>
      <w:r w:rsidR="005C007E" w:rsidRPr="000D12E1">
        <w:rPr>
          <w:rFonts w:ascii="Arial" w:hAnsi="Arial" w:cs="Arial"/>
          <w:sz w:val="24"/>
          <w:szCs w:val="24"/>
        </w:rPr>
        <w:t>; t</w:t>
      </w:r>
      <w:r w:rsidRPr="000D12E1">
        <w:rPr>
          <w:rFonts w:ascii="Arial" w:hAnsi="Arial" w:cs="Arial"/>
          <w:sz w:val="24"/>
          <w:szCs w:val="24"/>
        </w:rPr>
        <w:t xml:space="preserve">he project will install the </w:t>
      </w:r>
      <w:proofErr w:type="gramStart"/>
      <w:r w:rsidRPr="000D12E1">
        <w:rPr>
          <w:rFonts w:ascii="Arial" w:hAnsi="Arial" w:cs="Arial"/>
          <w:sz w:val="24"/>
          <w:szCs w:val="24"/>
        </w:rPr>
        <w:t>system</w:t>
      </w:r>
      <w:proofErr w:type="gramEnd"/>
      <w:r w:rsidRPr="000D12E1">
        <w:rPr>
          <w:rFonts w:ascii="Arial" w:hAnsi="Arial" w:cs="Arial"/>
          <w:sz w:val="24"/>
          <w:szCs w:val="24"/>
        </w:rPr>
        <w:t xml:space="preserve"> </w:t>
      </w:r>
      <w:r w:rsidR="009625D3" w:rsidRPr="000D12E1">
        <w:rPr>
          <w:rFonts w:ascii="Arial" w:hAnsi="Arial" w:cs="Arial"/>
          <w:sz w:val="24"/>
          <w:szCs w:val="24"/>
        </w:rPr>
        <w:t>but the Faculty will</w:t>
      </w:r>
      <w:r w:rsidRPr="000D12E1">
        <w:rPr>
          <w:rFonts w:ascii="Arial" w:hAnsi="Arial" w:cs="Arial"/>
          <w:sz w:val="24"/>
          <w:szCs w:val="24"/>
        </w:rPr>
        <w:t xml:space="preserve"> fund it</w:t>
      </w:r>
      <w:r w:rsidR="00CB3ED3" w:rsidRPr="000D12E1">
        <w:rPr>
          <w:rFonts w:ascii="Arial" w:hAnsi="Arial" w:cs="Arial"/>
          <w:sz w:val="24"/>
          <w:szCs w:val="24"/>
        </w:rPr>
        <w:t>.</w:t>
      </w:r>
    </w:p>
    <w:p w14:paraId="07CC9103" w14:textId="77777777" w:rsidR="005970E8" w:rsidRPr="000D12E1" w:rsidRDefault="005970E8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4DE3D896" w14:textId="77777777" w:rsidR="00601525" w:rsidRPr="000D12E1" w:rsidRDefault="00CB3ED3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>F</w:t>
      </w:r>
      <w:r w:rsidR="00935CA9" w:rsidRPr="000D12E1">
        <w:rPr>
          <w:rFonts w:ascii="Arial" w:hAnsi="Arial" w:cs="Arial"/>
          <w:sz w:val="24"/>
          <w:szCs w:val="24"/>
        </w:rPr>
        <w:t>acult</w:t>
      </w:r>
      <w:r w:rsidRPr="000D12E1">
        <w:rPr>
          <w:rFonts w:ascii="Arial" w:hAnsi="Arial" w:cs="Arial"/>
          <w:sz w:val="24"/>
          <w:szCs w:val="24"/>
        </w:rPr>
        <w:t>ies</w:t>
      </w:r>
      <w:r w:rsidR="00935CA9" w:rsidRPr="000D12E1">
        <w:rPr>
          <w:rFonts w:ascii="Arial" w:hAnsi="Arial" w:cs="Arial"/>
          <w:sz w:val="24"/>
          <w:szCs w:val="24"/>
        </w:rPr>
        <w:t xml:space="preserve"> </w:t>
      </w:r>
      <w:r w:rsidR="00601525" w:rsidRPr="000D12E1">
        <w:rPr>
          <w:rFonts w:ascii="Arial" w:hAnsi="Arial" w:cs="Arial"/>
          <w:sz w:val="24"/>
          <w:szCs w:val="24"/>
        </w:rPr>
        <w:t xml:space="preserve">will continue to pay space charge </w:t>
      </w:r>
      <w:r w:rsidR="008550A8" w:rsidRPr="000D12E1">
        <w:rPr>
          <w:rFonts w:ascii="Arial" w:hAnsi="Arial" w:cs="Arial"/>
          <w:sz w:val="24"/>
          <w:szCs w:val="24"/>
        </w:rPr>
        <w:t xml:space="preserve">only </w:t>
      </w:r>
      <w:r w:rsidR="00601525" w:rsidRPr="000D12E1">
        <w:rPr>
          <w:rFonts w:ascii="Arial" w:hAnsi="Arial" w:cs="Arial"/>
          <w:sz w:val="24"/>
          <w:szCs w:val="24"/>
        </w:rPr>
        <w:t>on areas occupied prior to project commencement until new space</w:t>
      </w:r>
      <w:r w:rsidRPr="000D12E1">
        <w:rPr>
          <w:rFonts w:ascii="Arial" w:hAnsi="Arial" w:cs="Arial"/>
          <w:sz w:val="24"/>
          <w:szCs w:val="24"/>
        </w:rPr>
        <w:t xml:space="preserve"> is occupied</w:t>
      </w:r>
      <w:r w:rsidR="00601525" w:rsidRPr="000D12E1">
        <w:rPr>
          <w:rFonts w:ascii="Arial" w:hAnsi="Arial" w:cs="Arial"/>
          <w:sz w:val="24"/>
          <w:szCs w:val="24"/>
        </w:rPr>
        <w:t xml:space="preserve">, even where decant accommodation </w:t>
      </w:r>
      <w:r w:rsidRPr="000D12E1">
        <w:rPr>
          <w:rFonts w:ascii="Arial" w:hAnsi="Arial" w:cs="Arial"/>
          <w:sz w:val="24"/>
          <w:szCs w:val="24"/>
        </w:rPr>
        <w:t xml:space="preserve">is used </w:t>
      </w:r>
      <w:r w:rsidR="00601525" w:rsidRPr="000D12E1">
        <w:rPr>
          <w:rFonts w:ascii="Arial" w:hAnsi="Arial" w:cs="Arial"/>
          <w:sz w:val="24"/>
          <w:szCs w:val="24"/>
        </w:rPr>
        <w:t>– though permanent expansion space will be chargeable once occupied</w:t>
      </w:r>
      <w:r w:rsidR="00DF382B" w:rsidRPr="000D12E1">
        <w:rPr>
          <w:rFonts w:ascii="Arial" w:hAnsi="Arial" w:cs="Arial"/>
          <w:sz w:val="24"/>
          <w:szCs w:val="24"/>
        </w:rPr>
        <w:t xml:space="preserve">.  Professional Services do not </w:t>
      </w:r>
      <w:r w:rsidR="0058078C" w:rsidRPr="000D12E1">
        <w:rPr>
          <w:rFonts w:ascii="Arial" w:hAnsi="Arial" w:cs="Arial"/>
          <w:sz w:val="24"/>
          <w:szCs w:val="24"/>
        </w:rPr>
        <w:t>pay a direct space charge, but the same principle applies</w:t>
      </w:r>
      <w:r w:rsidR="00DF382B" w:rsidRPr="000D12E1">
        <w:rPr>
          <w:rFonts w:ascii="Arial" w:hAnsi="Arial" w:cs="Arial"/>
          <w:sz w:val="24"/>
          <w:szCs w:val="24"/>
        </w:rPr>
        <w:t xml:space="preserve"> </w:t>
      </w:r>
      <w:r w:rsidRPr="000D12E1">
        <w:rPr>
          <w:rFonts w:ascii="Arial" w:hAnsi="Arial" w:cs="Arial"/>
          <w:sz w:val="24"/>
          <w:szCs w:val="24"/>
        </w:rPr>
        <w:t>for indirect space charges.</w:t>
      </w:r>
    </w:p>
    <w:p w14:paraId="38F8CAAF" w14:textId="77777777" w:rsidR="005970E8" w:rsidRPr="000D12E1" w:rsidRDefault="005970E8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3B846D66" w14:textId="0B9E9D09" w:rsidR="00601525" w:rsidRPr="000D12E1" w:rsidRDefault="00601525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>When calculating Net Present Values</w:t>
      </w:r>
      <w:r w:rsidR="00A66B38" w:rsidRPr="000D12E1">
        <w:rPr>
          <w:rFonts w:ascii="Arial" w:hAnsi="Arial" w:cs="Arial"/>
          <w:sz w:val="24"/>
          <w:szCs w:val="24"/>
        </w:rPr>
        <w:t xml:space="preserve"> (NPVs)</w:t>
      </w:r>
      <w:r w:rsidRPr="000D12E1">
        <w:rPr>
          <w:rFonts w:ascii="Arial" w:hAnsi="Arial" w:cs="Arial"/>
          <w:sz w:val="24"/>
          <w:szCs w:val="24"/>
        </w:rPr>
        <w:t xml:space="preserve"> for business cases </w:t>
      </w:r>
      <w:r w:rsidR="00F50DE2" w:rsidRPr="000D12E1">
        <w:rPr>
          <w:rFonts w:ascii="Arial" w:hAnsi="Arial" w:cs="Arial"/>
          <w:sz w:val="24"/>
          <w:szCs w:val="24"/>
        </w:rPr>
        <w:t>as part of the Investment Appraisal Process</w:t>
      </w:r>
      <w:r w:rsidRPr="000D12E1">
        <w:rPr>
          <w:rFonts w:ascii="Arial" w:hAnsi="Arial" w:cs="Arial"/>
          <w:sz w:val="24"/>
          <w:szCs w:val="24"/>
        </w:rPr>
        <w:t xml:space="preserve">, running costs are calculated on Net Internal Areas (NIAs) multiplied by the Estate Management Record (EMR) Total Property Cost for NIA which changes annually - £162 per </w:t>
      </w:r>
      <w:proofErr w:type="spellStart"/>
      <w:r w:rsidRPr="000D12E1">
        <w:rPr>
          <w:rFonts w:ascii="Arial" w:hAnsi="Arial" w:cs="Arial"/>
          <w:sz w:val="24"/>
          <w:szCs w:val="24"/>
        </w:rPr>
        <w:t>sq</w:t>
      </w:r>
      <w:proofErr w:type="spellEnd"/>
      <w:r w:rsidRPr="000D12E1">
        <w:rPr>
          <w:rFonts w:ascii="Arial" w:hAnsi="Arial" w:cs="Arial"/>
          <w:sz w:val="24"/>
          <w:szCs w:val="24"/>
        </w:rPr>
        <w:t xml:space="preserve"> m (from EMR 2017-18).  This measure looks at the impact on the University, rather than the Faculty</w:t>
      </w:r>
      <w:r w:rsidR="009625D3" w:rsidRPr="000D12E1">
        <w:rPr>
          <w:rFonts w:ascii="Arial" w:hAnsi="Arial" w:cs="Arial"/>
          <w:sz w:val="24"/>
          <w:szCs w:val="24"/>
        </w:rPr>
        <w:t>, s</w:t>
      </w:r>
      <w:r w:rsidRPr="000D12E1">
        <w:rPr>
          <w:rFonts w:ascii="Arial" w:hAnsi="Arial" w:cs="Arial"/>
          <w:sz w:val="24"/>
          <w:szCs w:val="24"/>
        </w:rPr>
        <w:t xml:space="preserve">o increases in area only apply </w:t>
      </w:r>
      <w:r w:rsidR="00F50DE2" w:rsidRPr="000D12E1">
        <w:rPr>
          <w:rFonts w:ascii="Arial" w:hAnsi="Arial" w:cs="Arial"/>
          <w:sz w:val="24"/>
          <w:szCs w:val="24"/>
        </w:rPr>
        <w:t>in the case of</w:t>
      </w:r>
      <w:r w:rsidRPr="000D12E1">
        <w:rPr>
          <w:rFonts w:ascii="Arial" w:hAnsi="Arial" w:cs="Arial"/>
          <w:sz w:val="24"/>
          <w:szCs w:val="24"/>
        </w:rPr>
        <w:t xml:space="preserve"> new buildings</w:t>
      </w:r>
      <w:r w:rsidR="00F1387C" w:rsidRPr="000D12E1">
        <w:rPr>
          <w:rFonts w:ascii="Arial" w:hAnsi="Arial" w:cs="Arial"/>
          <w:sz w:val="24"/>
          <w:szCs w:val="24"/>
        </w:rPr>
        <w:t>/</w:t>
      </w:r>
      <w:r w:rsidRPr="000D12E1">
        <w:rPr>
          <w:rFonts w:ascii="Arial" w:hAnsi="Arial" w:cs="Arial"/>
          <w:sz w:val="24"/>
          <w:szCs w:val="24"/>
        </w:rPr>
        <w:t>extensions</w:t>
      </w:r>
      <w:r w:rsidR="00F50DE2" w:rsidRPr="000D12E1">
        <w:rPr>
          <w:rFonts w:ascii="Arial" w:hAnsi="Arial" w:cs="Arial"/>
          <w:sz w:val="24"/>
          <w:szCs w:val="24"/>
        </w:rPr>
        <w:t>;</w:t>
      </w:r>
      <w:r w:rsidRPr="000D12E1">
        <w:rPr>
          <w:rFonts w:ascii="Arial" w:hAnsi="Arial" w:cs="Arial"/>
          <w:sz w:val="24"/>
          <w:szCs w:val="24"/>
        </w:rPr>
        <w:t xml:space="preserve"> if a </w:t>
      </w:r>
      <w:r w:rsidR="00935CA9" w:rsidRPr="000D12E1">
        <w:rPr>
          <w:rFonts w:ascii="Arial" w:hAnsi="Arial" w:cs="Arial"/>
          <w:sz w:val="24"/>
          <w:szCs w:val="24"/>
        </w:rPr>
        <w:t xml:space="preserve">Faculty </w:t>
      </w:r>
      <w:r w:rsidRPr="000D12E1">
        <w:rPr>
          <w:rFonts w:ascii="Arial" w:hAnsi="Arial" w:cs="Arial"/>
          <w:sz w:val="24"/>
          <w:szCs w:val="24"/>
        </w:rPr>
        <w:t xml:space="preserve">takes on </w:t>
      </w:r>
      <w:r w:rsidR="00F1387C" w:rsidRPr="000D12E1">
        <w:rPr>
          <w:rFonts w:ascii="Arial" w:hAnsi="Arial" w:cs="Arial"/>
          <w:sz w:val="24"/>
          <w:szCs w:val="24"/>
        </w:rPr>
        <w:t xml:space="preserve">extra </w:t>
      </w:r>
      <w:r w:rsidRPr="000D12E1">
        <w:rPr>
          <w:rFonts w:ascii="Arial" w:hAnsi="Arial" w:cs="Arial"/>
          <w:sz w:val="24"/>
          <w:szCs w:val="24"/>
        </w:rPr>
        <w:t xml:space="preserve">space that was already in </w:t>
      </w:r>
      <w:r w:rsidR="00F1387C" w:rsidRPr="000D12E1">
        <w:rPr>
          <w:rFonts w:ascii="Arial" w:hAnsi="Arial" w:cs="Arial"/>
          <w:sz w:val="24"/>
          <w:szCs w:val="24"/>
        </w:rPr>
        <w:t xml:space="preserve">University </w:t>
      </w:r>
      <w:r w:rsidRPr="000D12E1">
        <w:rPr>
          <w:rFonts w:ascii="Arial" w:hAnsi="Arial" w:cs="Arial"/>
          <w:sz w:val="24"/>
          <w:szCs w:val="24"/>
        </w:rPr>
        <w:t>use, this has no impact on the NPV</w:t>
      </w:r>
      <w:r w:rsidR="00254FBE" w:rsidRPr="000D12E1">
        <w:rPr>
          <w:rFonts w:ascii="Arial" w:hAnsi="Arial" w:cs="Arial"/>
          <w:sz w:val="24"/>
          <w:szCs w:val="24"/>
        </w:rPr>
        <w:t>.</w:t>
      </w:r>
      <w:r w:rsidR="000E6B86" w:rsidRPr="000D12E1">
        <w:rPr>
          <w:rFonts w:ascii="Arial" w:hAnsi="Arial" w:cs="Arial"/>
          <w:sz w:val="24"/>
          <w:szCs w:val="24"/>
        </w:rPr>
        <w:t xml:space="preserve">  </w:t>
      </w:r>
      <w:r w:rsidR="00804502" w:rsidRPr="000D12E1">
        <w:rPr>
          <w:rFonts w:ascii="Arial" w:hAnsi="Arial" w:cs="Arial"/>
          <w:sz w:val="24"/>
          <w:szCs w:val="24"/>
        </w:rPr>
        <w:t>F</w:t>
      </w:r>
      <w:r w:rsidR="000E6B86" w:rsidRPr="000D12E1">
        <w:rPr>
          <w:rFonts w:ascii="Arial" w:hAnsi="Arial" w:cs="Arial"/>
          <w:sz w:val="24"/>
          <w:szCs w:val="24"/>
        </w:rPr>
        <w:t xml:space="preserve">uture funding of revenue costs associated with the capital project should be included in NPV calculations, </w:t>
      </w:r>
      <w:r w:rsidR="00804502" w:rsidRPr="000D12E1">
        <w:rPr>
          <w:rFonts w:ascii="Arial" w:hAnsi="Arial" w:cs="Arial"/>
          <w:sz w:val="24"/>
          <w:szCs w:val="24"/>
        </w:rPr>
        <w:t xml:space="preserve">including </w:t>
      </w:r>
      <w:r w:rsidR="000E6B86" w:rsidRPr="000D12E1">
        <w:rPr>
          <w:rFonts w:ascii="Arial" w:hAnsi="Arial" w:cs="Arial"/>
          <w:sz w:val="24"/>
          <w:szCs w:val="24"/>
        </w:rPr>
        <w:t xml:space="preserve">both ongoing building upgrades </w:t>
      </w:r>
      <w:proofErr w:type="spellStart"/>
      <w:r w:rsidR="000E6B86" w:rsidRPr="000D12E1">
        <w:rPr>
          <w:rFonts w:ascii="Arial" w:hAnsi="Arial" w:cs="Arial"/>
          <w:sz w:val="24"/>
          <w:szCs w:val="24"/>
        </w:rPr>
        <w:t>eg</w:t>
      </w:r>
      <w:proofErr w:type="spellEnd"/>
      <w:r w:rsidR="000E6B86" w:rsidRPr="000D12E1">
        <w:rPr>
          <w:rFonts w:ascii="Arial" w:hAnsi="Arial" w:cs="Arial"/>
          <w:sz w:val="24"/>
          <w:szCs w:val="24"/>
        </w:rPr>
        <w:t xml:space="preserve"> new furniture or refurbishments, plus future replacement costs </w:t>
      </w:r>
      <w:r w:rsidR="00A66B38" w:rsidRPr="000D12E1">
        <w:rPr>
          <w:rFonts w:ascii="Arial" w:hAnsi="Arial" w:cs="Arial"/>
          <w:sz w:val="24"/>
          <w:szCs w:val="24"/>
        </w:rPr>
        <w:t>for</w:t>
      </w:r>
      <w:r w:rsidR="000E6B86" w:rsidRPr="000D12E1">
        <w:rPr>
          <w:rFonts w:ascii="Arial" w:hAnsi="Arial" w:cs="Arial"/>
          <w:sz w:val="24"/>
          <w:szCs w:val="24"/>
        </w:rPr>
        <w:t xml:space="preserve"> </w:t>
      </w:r>
      <w:r w:rsidR="00804502" w:rsidRPr="000D12E1">
        <w:rPr>
          <w:rFonts w:ascii="Arial" w:hAnsi="Arial" w:cs="Arial"/>
          <w:sz w:val="24"/>
          <w:szCs w:val="24"/>
        </w:rPr>
        <w:t xml:space="preserve">research or other </w:t>
      </w:r>
      <w:r w:rsidR="000E6B86" w:rsidRPr="000D12E1">
        <w:rPr>
          <w:rFonts w:ascii="Arial" w:hAnsi="Arial" w:cs="Arial"/>
          <w:sz w:val="24"/>
          <w:szCs w:val="24"/>
        </w:rPr>
        <w:t xml:space="preserve">equipment. These costs </w:t>
      </w:r>
      <w:r w:rsidR="00804502" w:rsidRPr="000D12E1">
        <w:rPr>
          <w:rFonts w:ascii="Arial" w:hAnsi="Arial" w:cs="Arial"/>
          <w:sz w:val="24"/>
          <w:szCs w:val="24"/>
        </w:rPr>
        <w:t>will</w:t>
      </w:r>
      <w:r w:rsidR="000E6B86" w:rsidRPr="000D12E1">
        <w:rPr>
          <w:rFonts w:ascii="Arial" w:hAnsi="Arial" w:cs="Arial"/>
          <w:sz w:val="24"/>
          <w:szCs w:val="24"/>
        </w:rPr>
        <w:t xml:space="preserve"> be </w:t>
      </w:r>
      <w:r w:rsidR="00804502" w:rsidRPr="000D12E1">
        <w:rPr>
          <w:rFonts w:ascii="Arial" w:hAnsi="Arial" w:cs="Arial"/>
          <w:sz w:val="24"/>
          <w:szCs w:val="24"/>
        </w:rPr>
        <w:t xml:space="preserve">wholly </w:t>
      </w:r>
      <w:r w:rsidR="000E6B86" w:rsidRPr="000D12E1">
        <w:rPr>
          <w:rFonts w:ascii="Arial" w:hAnsi="Arial" w:cs="Arial"/>
          <w:sz w:val="24"/>
          <w:szCs w:val="24"/>
        </w:rPr>
        <w:t xml:space="preserve">met by the </w:t>
      </w:r>
      <w:r w:rsidR="00804502" w:rsidRPr="000D12E1">
        <w:rPr>
          <w:rFonts w:ascii="Arial" w:hAnsi="Arial" w:cs="Arial"/>
          <w:sz w:val="24"/>
          <w:szCs w:val="24"/>
        </w:rPr>
        <w:t>Faculty or Professional Service</w:t>
      </w:r>
      <w:r w:rsidR="000E6B86" w:rsidRPr="000D12E1">
        <w:rPr>
          <w:rFonts w:ascii="Arial" w:hAnsi="Arial" w:cs="Arial"/>
          <w:sz w:val="24"/>
          <w:szCs w:val="24"/>
        </w:rPr>
        <w:t>.</w:t>
      </w:r>
    </w:p>
    <w:p w14:paraId="6265A304" w14:textId="77777777" w:rsidR="0037758C" w:rsidRPr="000D12E1" w:rsidRDefault="0037758C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702BBCCC" w14:textId="20BF4523" w:rsidR="0037758C" w:rsidRPr="000D12E1" w:rsidRDefault="00AB7828" w:rsidP="00350EDC">
      <w:pPr>
        <w:pStyle w:val="ListParagraph"/>
        <w:numPr>
          <w:ilvl w:val="0"/>
          <w:numId w:val="1"/>
        </w:numPr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>We</w:t>
      </w:r>
      <w:r w:rsidR="0037758C" w:rsidRPr="000D12E1">
        <w:rPr>
          <w:rFonts w:ascii="Arial" w:hAnsi="Arial" w:cs="Arial"/>
          <w:sz w:val="24"/>
          <w:szCs w:val="24"/>
        </w:rPr>
        <w:t xml:space="preserve"> will embed sustainability into all aspects of projects including energy and water use, clean air, healthy buildings and develop</w:t>
      </w:r>
      <w:r w:rsidR="00A12E6F" w:rsidRPr="000D12E1">
        <w:rPr>
          <w:rFonts w:ascii="Arial" w:hAnsi="Arial" w:cs="Arial"/>
          <w:sz w:val="24"/>
          <w:szCs w:val="24"/>
        </w:rPr>
        <w:t>ment of</w:t>
      </w:r>
      <w:r w:rsidR="0037758C" w:rsidRPr="000D12E1">
        <w:rPr>
          <w:rFonts w:ascii="Arial" w:hAnsi="Arial" w:cs="Arial"/>
          <w:sz w:val="24"/>
          <w:szCs w:val="24"/>
        </w:rPr>
        <w:t xml:space="preserve"> a smarter campus to enable collaboration, flexibility and greater engagement and teamwork in well-connected facilities.</w:t>
      </w:r>
      <w:r w:rsidRPr="000D12E1">
        <w:rPr>
          <w:rFonts w:ascii="Arial" w:hAnsi="Arial" w:cs="Arial"/>
          <w:sz w:val="24"/>
          <w:szCs w:val="24"/>
        </w:rPr>
        <w:t xml:space="preserve"> </w:t>
      </w:r>
      <w:r w:rsidR="00C14550" w:rsidRPr="000D12E1">
        <w:rPr>
          <w:rFonts w:ascii="Arial" w:hAnsi="Arial" w:cs="Arial"/>
          <w:sz w:val="24"/>
          <w:szCs w:val="24"/>
        </w:rPr>
        <w:t>We will</w:t>
      </w:r>
      <w:r w:rsidRPr="000D12E1">
        <w:rPr>
          <w:rFonts w:ascii="Arial" w:hAnsi="Arial" w:cs="Arial"/>
          <w:sz w:val="24"/>
          <w:szCs w:val="24"/>
        </w:rPr>
        <w:t xml:space="preserve"> consider community use of space. </w:t>
      </w:r>
    </w:p>
    <w:p w14:paraId="58F6D0F9" w14:textId="77777777" w:rsidR="00321BCC" w:rsidRPr="000D12E1" w:rsidRDefault="00321BCC" w:rsidP="00350EDC">
      <w:pPr>
        <w:pStyle w:val="ListParagraph"/>
        <w:ind w:left="709" w:right="481"/>
        <w:rPr>
          <w:rFonts w:ascii="Arial" w:hAnsi="Arial" w:cs="Arial"/>
          <w:sz w:val="24"/>
          <w:szCs w:val="24"/>
        </w:rPr>
      </w:pPr>
    </w:p>
    <w:p w14:paraId="0FBBCBD5" w14:textId="22F46A39" w:rsidR="00321BCC" w:rsidRPr="000D12E1" w:rsidRDefault="00321BCC" w:rsidP="00350EDC">
      <w:pPr>
        <w:pStyle w:val="Header"/>
        <w:numPr>
          <w:ilvl w:val="0"/>
          <w:numId w:val="1"/>
        </w:numPr>
        <w:spacing w:after="120"/>
        <w:ind w:left="709" w:right="481"/>
        <w:rPr>
          <w:rFonts w:ascii="Arial" w:hAnsi="Arial" w:cs="Arial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 xml:space="preserve">We will promote efficiency in the use of space to improve sustainability; this theme is embedded not only in space allocations and projects but also in student programmes. Sustainable building solutions will include </w:t>
      </w:r>
      <w:r w:rsidR="00B37771" w:rsidRPr="000D12E1">
        <w:rPr>
          <w:rFonts w:ascii="Arial" w:hAnsi="Arial" w:cs="Arial"/>
          <w:sz w:val="24"/>
          <w:szCs w:val="24"/>
        </w:rPr>
        <w:t>low or zero carbon construction</w:t>
      </w:r>
      <w:r w:rsidRPr="000D12E1">
        <w:rPr>
          <w:rFonts w:ascii="Arial" w:hAnsi="Arial" w:cs="Arial"/>
          <w:sz w:val="24"/>
          <w:szCs w:val="24"/>
        </w:rPr>
        <w:t xml:space="preserve">, natural ventilation, </w:t>
      </w:r>
      <w:r w:rsidR="00B37771" w:rsidRPr="000D12E1">
        <w:rPr>
          <w:rFonts w:ascii="Arial" w:hAnsi="Arial" w:cs="Arial"/>
          <w:sz w:val="24"/>
          <w:szCs w:val="24"/>
        </w:rPr>
        <w:t xml:space="preserve">and </w:t>
      </w:r>
      <w:r w:rsidRPr="000D12E1">
        <w:rPr>
          <w:rFonts w:ascii="Arial" w:hAnsi="Arial" w:cs="Arial"/>
          <w:sz w:val="24"/>
          <w:szCs w:val="24"/>
        </w:rPr>
        <w:t xml:space="preserve">shared space with minimal circulation areas contributing to lowering carbon emissions. In addition, behavioural changes will be required such as increased use of shared offices and laboratories, </w:t>
      </w:r>
      <w:r w:rsidR="003C3C07" w:rsidRPr="000D12E1">
        <w:rPr>
          <w:rFonts w:ascii="Arial" w:hAnsi="Arial" w:cs="Arial"/>
          <w:sz w:val="24"/>
          <w:szCs w:val="24"/>
        </w:rPr>
        <w:t xml:space="preserve">and use of digital technologies, </w:t>
      </w:r>
      <w:r w:rsidRPr="000D12E1">
        <w:rPr>
          <w:rFonts w:ascii="Arial" w:hAnsi="Arial" w:cs="Arial"/>
          <w:sz w:val="24"/>
          <w:szCs w:val="24"/>
        </w:rPr>
        <w:t>helping to keep the overall size of the estate at an optimum level for financial and environmental sustainability</w:t>
      </w:r>
      <w:r w:rsidR="007F08F7" w:rsidRPr="000D12E1">
        <w:rPr>
          <w:rFonts w:ascii="Arial" w:hAnsi="Arial" w:cs="Arial"/>
          <w:sz w:val="24"/>
          <w:szCs w:val="24"/>
        </w:rPr>
        <w:t>.</w:t>
      </w:r>
    </w:p>
    <w:p w14:paraId="79315D77" w14:textId="0691D1D2" w:rsidR="00C5106F" w:rsidRPr="000D12E1" w:rsidRDefault="00321BCC" w:rsidP="00350EDC">
      <w:pPr>
        <w:pStyle w:val="Header"/>
        <w:numPr>
          <w:ilvl w:val="0"/>
          <w:numId w:val="1"/>
        </w:numPr>
        <w:spacing w:after="120"/>
        <w:ind w:left="709" w:right="481"/>
        <w:rPr>
          <w:rFonts w:ascii="Arial" w:hAnsi="Arial" w:cs="Arial"/>
          <w:b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 xml:space="preserve">Capital Group requires that briefs for capital projects </w:t>
      </w:r>
      <w:r w:rsidR="00232F93" w:rsidRPr="000D12E1">
        <w:rPr>
          <w:rFonts w:ascii="Arial" w:hAnsi="Arial" w:cs="Arial"/>
          <w:sz w:val="24"/>
          <w:szCs w:val="24"/>
        </w:rPr>
        <w:t xml:space="preserve">will </w:t>
      </w:r>
      <w:r w:rsidR="00B37771" w:rsidRPr="000D12E1">
        <w:rPr>
          <w:rFonts w:ascii="Arial" w:hAnsi="Arial" w:cs="Arial"/>
          <w:sz w:val="24"/>
          <w:szCs w:val="24"/>
        </w:rPr>
        <w:t>reflect behavioural changes leading to improved financial and environmental sustainability, embedding ne</w:t>
      </w:r>
      <w:r w:rsidR="005F550D" w:rsidRPr="000D12E1">
        <w:rPr>
          <w:rFonts w:ascii="Arial" w:hAnsi="Arial" w:cs="Arial"/>
          <w:sz w:val="24"/>
          <w:szCs w:val="24"/>
        </w:rPr>
        <w:t>w ways of working and digital transformation in</w:t>
      </w:r>
      <w:r w:rsidR="00B37771" w:rsidRPr="000D12E1">
        <w:rPr>
          <w:rFonts w:ascii="Arial" w:hAnsi="Arial" w:cs="Arial"/>
          <w:sz w:val="24"/>
          <w:szCs w:val="24"/>
        </w:rPr>
        <w:t>to</w:t>
      </w:r>
      <w:r w:rsidR="005F550D" w:rsidRPr="000D12E1">
        <w:rPr>
          <w:rFonts w:ascii="Arial" w:hAnsi="Arial" w:cs="Arial"/>
          <w:sz w:val="24"/>
          <w:szCs w:val="24"/>
        </w:rPr>
        <w:t xml:space="preserve"> business cases.</w:t>
      </w:r>
    </w:p>
    <w:p w14:paraId="232B213C" w14:textId="77777777" w:rsidR="00350EDC" w:rsidRPr="000D12E1" w:rsidRDefault="00350EDC" w:rsidP="000D12E1">
      <w:pPr>
        <w:pStyle w:val="Header"/>
        <w:ind w:left="66" w:right="481"/>
        <w:rPr>
          <w:rFonts w:ascii="Arial" w:hAnsi="Arial" w:cs="Arial"/>
          <w:b/>
          <w:sz w:val="24"/>
          <w:szCs w:val="24"/>
        </w:rPr>
      </w:pPr>
    </w:p>
    <w:p w14:paraId="0FD4B8F7" w14:textId="0396AA5E" w:rsidR="0039290C" w:rsidRPr="000D12E1" w:rsidRDefault="00D27867" w:rsidP="00F37976">
      <w:pPr>
        <w:pStyle w:val="Heading3"/>
      </w:pPr>
      <w:r w:rsidRPr="000D12E1">
        <w:t xml:space="preserve">Summary for </w:t>
      </w:r>
      <w:r w:rsidR="0039290C" w:rsidRPr="000D12E1">
        <w:t>Faculties and Schools</w:t>
      </w:r>
    </w:p>
    <w:p w14:paraId="1F78316A" w14:textId="77777777" w:rsidR="00C14550" w:rsidRPr="00F9055F" w:rsidRDefault="00C14550" w:rsidP="0039290C">
      <w:pPr>
        <w:rPr>
          <w:rFonts w:ascii="Arial" w:hAnsi="Arial" w:cs="Arial"/>
          <w:b/>
        </w:rPr>
      </w:pPr>
    </w:p>
    <w:tbl>
      <w:tblPr>
        <w:tblW w:w="102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987"/>
        <w:gridCol w:w="993"/>
        <w:gridCol w:w="1274"/>
        <w:gridCol w:w="1560"/>
      </w:tblGrid>
      <w:tr w:rsidR="00BD25F8" w:rsidRPr="00F9055F" w14:paraId="47332A8D" w14:textId="77777777" w:rsidTr="00350EDC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0D718" w14:textId="77777777" w:rsidR="00BD25F8" w:rsidRPr="000D12E1" w:rsidRDefault="00BD25F8" w:rsidP="004B37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12E1">
              <w:rPr>
                <w:rFonts w:ascii="Arial" w:hAnsi="Arial" w:cs="Arial"/>
                <w:b/>
                <w:sz w:val="24"/>
                <w:szCs w:val="24"/>
              </w:rPr>
              <w:t>Who pays for what within capital project costs?</w:t>
            </w: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8658B" w14:textId="77777777" w:rsidR="00BD25F8" w:rsidRPr="00F9055F" w:rsidRDefault="005975FB" w:rsidP="00D052DF">
            <w:pPr>
              <w:rPr>
                <w:rFonts w:ascii="Arial" w:hAnsi="Arial" w:cs="Arial"/>
                <w:b/>
              </w:rPr>
            </w:pPr>
            <w:r w:rsidRPr="00F9055F">
              <w:rPr>
                <w:rFonts w:ascii="Arial" w:hAnsi="Arial" w:cs="Arial"/>
                <w:b/>
              </w:rPr>
              <w:t>Faculty pays 10%</w:t>
            </w:r>
            <w:r w:rsidR="007171DE" w:rsidRPr="00F9055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C7DAF" w14:textId="77777777" w:rsidR="00BD25F8" w:rsidRPr="00F9055F" w:rsidRDefault="00BD25F8" w:rsidP="00D052DF">
            <w:pPr>
              <w:rPr>
                <w:rFonts w:ascii="Arial" w:hAnsi="Arial" w:cs="Arial"/>
                <w:b/>
              </w:rPr>
            </w:pPr>
            <w:r w:rsidRPr="00F9055F">
              <w:rPr>
                <w:rFonts w:ascii="Arial" w:hAnsi="Arial" w:cs="Arial"/>
                <w:b/>
              </w:rPr>
              <w:t xml:space="preserve">Faculty pays 100% </w:t>
            </w:r>
          </w:p>
        </w:tc>
        <w:tc>
          <w:tcPr>
            <w:tcW w:w="1274" w:type="dxa"/>
            <w:shd w:val="clear" w:color="auto" w:fill="auto"/>
          </w:tcPr>
          <w:p w14:paraId="6F6E6389" w14:textId="77777777" w:rsidR="00BD25F8" w:rsidRPr="00F9055F" w:rsidRDefault="00BD25F8" w:rsidP="00D052DF">
            <w:pPr>
              <w:rPr>
                <w:rFonts w:ascii="Arial" w:hAnsi="Arial" w:cs="Arial"/>
                <w:b/>
              </w:rPr>
            </w:pPr>
            <w:r w:rsidRPr="00F9055F">
              <w:rPr>
                <w:rFonts w:ascii="Arial" w:hAnsi="Arial" w:cs="Arial"/>
                <w:b/>
              </w:rPr>
              <w:t xml:space="preserve">Capital Programme pays 100%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D6B1D" w14:textId="77777777" w:rsidR="00BD25F8" w:rsidRPr="00F9055F" w:rsidRDefault="00BD25F8" w:rsidP="00D052DF">
            <w:pPr>
              <w:rPr>
                <w:rFonts w:ascii="Arial" w:hAnsi="Arial" w:cs="Arial"/>
                <w:b/>
              </w:rPr>
            </w:pPr>
            <w:r w:rsidRPr="00F9055F">
              <w:rPr>
                <w:rFonts w:ascii="Arial" w:hAnsi="Arial" w:cs="Arial"/>
                <w:b/>
              </w:rPr>
              <w:t xml:space="preserve">Capital Programme pays 90% </w:t>
            </w:r>
          </w:p>
        </w:tc>
      </w:tr>
      <w:tr w:rsidR="00BD25F8" w:rsidRPr="00F9055F" w14:paraId="009AAAA6" w14:textId="77777777" w:rsidTr="00350EDC">
        <w:trPr>
          <w:trHeight w:val="566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4362C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Building construction or refurbishment for a Faculty as main user</w:t>
            </w:r>
          </w:p>
          <w:p w14:paraId="03CEEC63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407F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5F6A1A42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  <w:r w:rsidRPr="00F9055F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32D1" w14:textId="77777777" w:rsidR="00BD25F8" w:rsidRPr="00F9055F" w:rsidRDefault="00BD25F8" w:rsidP="00D052D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shd w:val="clear" w:color="auto" w:fill="auto"/>
          </w:tcPr>
          <w:p w14:paraId="7870316C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F09A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3B2EFADE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  <w:r w:rsidRPr="00F9055F">
              <w:rPr>
                <w:rFonts w:ascii="Arial" w:hAnsi="Arial" w:cs="Arial"/>
              </w:rPr>
              <w:t>x</w:t>
            </w:r>
          </w:p>
          <w:p w14:paraId="145AF5F6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</w:tr>
      <w:tr w:rsidR="007171DE" w:rsidRPr="00F9055F" w14:paraId="385E7B41" w14:textId="77777777" w:rsidTr="00350EDC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6E07" w14:textId="77777777" w:rsidR="007171DE" w:rsidRPr="000D12E1" w:rsidRDefault="007171DE" w:rsidP="007171DE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lastRenderedPageBreak/>
              <w:t xml:space="preserve">Building construction or refurbishment for communal use, </w:t>
            </w:r>
            <w:proofErr w:type="spellStart"/>
            <w:r w:rsidRPr="000D12E1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0D12E1">
              <w:rPr>
                <w:rFonts w:ascii="Arial" w:hAnsi="Arial" w:cs="Arial"/>
                <w:sz w:val="24"/>
                <w:szCs w:val="24"/>
              </w:rPr>
              <w:t xml:space="preserve"> central teaching or social space in a coffee bar</w:t>
            </w:r>
          </w:p>
          <w:p w14:paraId="63C7E2E6" w14:textId="77777777" w:rsidR="007171DE" w:rsidRPr="000D12E1" w:rsidRDefault="007171DE" w:rsidP="00D05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8207" w14:textId="77777777" w:rsidR="007171DE" w:rsidRPr="00F9055F" w:rsidRDefault="007171DE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EC4F" w14:textId="77777777" w:rsidR="007171DE" w:rsidRPr="00F9055F" w:rsidRDefault="007171DE" w:rsidP="00D052D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48F65B28" w14:textId="77777777" w:rsidR="0029552C" w:rsidRPr="00F9055F" w:rsidRDefault="0029552C" w:rsidP="00D052DF">
            <w:pPr>
              <w:jc w:val="center"/>
              <w:rPr>
                <w:rFonts w:ascii="Arial" w:hAnsi="Arial" w:cs="Arial"/>
              </w:rPr>
            </w:pPr>
          </w:p>
          <w:p w14:paraId="2E13D9CF" w14:textId="77777777" w:rsidR="007171DE" w:rsidRPr="00F9055F" w:rsidRDefault="0029552C" w:rsidP="00D052DF">
            <w:pPr>
              <w:jc w:val="center"/>
              <w:rPr>
                <w:rFonts w:ascii="Arial" w:hAnsi="Arial" w:cs="Arial"/>
              </w:rPr>
            </w:pPr>
            <w:r w:rsidRPr="00F9055F">
              <w:rPr>
                <w:rFonts w:ascii="Arial" w:hAnsi="Arial" w:cs="Arial"/>
              </w:rPr>
              <w:t>x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B097" w14:textId="77777777" w:rsidR="007171DE" w:rsidRPr="00F9055F" w:rsidRDefault="007171DE" w:rsidP="00D052DF">
            <w:pPr>
              <w:jc w:val="center"/>
              <w:rPr>
                <w:rFonts w:ascii="Arial" w:hAnsi="Arial" w:cs="Arial"/>
              </w:rPr>
            </w:pPr>
          </w:p>
        </w:tc>
      </w:tr>
      <w:tr w:rsidR="00BD25F8" w:rsidRPr="00F9055F" w14:paraId="39866FC4" w14:textId="77777777" w:rsidTr="00350EDC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43C2" w14:textId="20374490" w:rsidR="008550A8" w:rsidRPr="000D12E1" w:rsidRDefault="008550A8" w:rsidP="008550A8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Significant Backlog Maintenance cost elements of a project as part of a refurbishment</w:t>
            </w:r>
            <w:r w:rsidR="00A522F6" w:rsidRPr="000D12E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A522F6" w:rsidRPr="000D12E1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A522F6" w:rsidRPr="000D12E1">
              <w:rPr>
                <w:rFonts w:ascii="Arial" w:hAnsi="Arial" w:cs="Arial"/>
                <w:sz w:val="24"/>
                <w:szCs w:val="24"/>
              </w:rPr>
              <w:t xml:space="preserve"> renewal of whole-building systems)</w:t>
            </w:r>
            <w:r w:rsidRPr="000D12E1">
              <w:rPr>
                <w:rFonts w:ascii="Arial" w:hAnsi="Arial" w:cs="Arial"/>
                <w:sz w:val="24"/>
                <w:szCs w:val="24"/>
              </w:rPr>
              <w:t xml:space="preserve">; or </w:t>
            </w:r>
            <w:r w:rsidR="00CD5EFD" w:rsidRPr="000D12E1">
              <w:rPr>
                <w:rFonts w:ascii="Arial" w:hAnsi="Arial" w:cs="Arial"/>
                <w:sz w:val="24"/>
                <w:szCs w:val="24"/>
              </w:rPr>
              <w:t xml:space="preserve">large-scale </w:t>
            </w:r>
            <w:r w:rsidRPr="000D12E1">
              <w:rPr>
                <w:rFonts w:ascii="Arial" w:hAnsi="Arial" w:cs="Arial"/>
                <w:sz w:val="24"/>
                <w:szCs w:val="24"/>
              </w:rPr>
              <w:t xml:space="preserve">measures to improve </w:t>
            </w:r>
            <w:r w:rsidR="000A70E3" w:rsidRPr="000D12E1">
              <w:rPr>
                <w:rFonts w:ascii="Arial" w:hAnsi="Arial" w:cs="Arial"/>
                <w:sz w:val="24"/>
                <w:szCs w:val="24"/>
              </w:rPr>
              <w:t>S</w:t>
            </w:r>
            <w:r w:rsidRPr="000D12E1">
              <w:rPr>
                <w:rFonts w:ascii="Arial" w:hAnsi="Arial" w:cs="Arial"/>
                <w:sz w:val="24"/>
                <w:szCs w:val="24"/>
              </w:rPr>
              <w:t>ustainability</w:t>
            </w:r>
          </w:p>
          <w:p w14:paraId="14532679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9DE3" w14:textId="77777777" w:rsidR="00BD25F8" w:rsidRPr="005B3915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F491" w14:textId="77777777" w:rsidR="00BD25F8" w:rsidRPr="005B3915" w:rsidRDefault="00BD25F8" w:rsidP="00D052D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1A63361F" w14:textId="77777777" w:rsidR="00BD25F8" w:rsidRPr="005B3915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6B1FF5C3" w14:textId="77777777" w:rsidR="00BD25F8" w:rsidRPr="005B3915" w:rsidRDefault="00BD25F8" w:rsidP="00D052DF">
            <w:pPr>
              <w:jc w:val="center"/>
              <w:rPr>
                <w:rFonts w:ascii="Arial" w:hAnsi="Arial" w:cs="Arial"/>
              </w:rPr>
            </w:pPr>
            <w:r w:rsidRPr="005B3915">
              <w:rPr>
                <w:rFonts w:ascii="Arial" w:hAnsi="Arial" w:cs="Arial"/>
              </w:rPr>
              <w:t>x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2403" w14:textId="77777777" w:rsidR="00BD25F8" w:rsidRPr="005B3915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</w:tr>
      <w:tr w:rsidR="00BD25F8" w:rsidRPr="00F9055F" w14:paraId="687E2214" w14:textId="77777777" w:rsidTr="00350EDC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8286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Removal/decant costs and disposal of old furniture and fixed specialist equipment</w:t>
            </w:r>
            <w:r w:rsidR="00371B21" w:rsidRPr="000D12E1">
              <w:rPr>
                <w:rFonts w:ascii="Arial" w:hAnsi="Arial" w:cs="Arial"/>
                <w:sz w:val="24"/>
                <w:szCs w:val="24"/>
              </w:rPr>
              <w:t xml:space="preserve"> (or re-location/re-provision in new space</w:t>
            </w:r>
            <w:r w:rsidR="00F9055F" w:rsidRPr="000D12E1">
              <w:rPr>
                <w:rFonts w:ascii="Arial" w:hAnsi="Arial" w:cs="Arial"/>
                <w:sz w:val="24"/>
                <w:szCs w:val="24"/>
              </w:rPr>
              <w:t xml:space="preserve"> where project-driven</w:t>
            </w:r>
            <w:r w:rsidR="00371B21" w:rsidRPr="000D12E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EE4417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7187A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2D32A603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  <w:r w:rsidRPr="00F9055F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8295" w14:textId="77777777" w:rsidR="00BD25F8" w:rsidRPr="00F9055F" w:rsidRDefault="00BD25F8" w:rsidP="00D052D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1FF9382A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7947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28F5605A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  <w:r w:rsidRPr="00F9055F">
              <w:rPr>
                <w:rFonts w:ascii="Arial" w:hAnsi="Arial" w:cs="Arial"/>
              </w:rPr>
              <w:t>x</w:t>
            </w:r>
          </w:p>
        </w:tc>
      </w:tr>
      <w:tr w:rsidR="00BD25F8" w:rsidRPr="00F9055F" w14:paraId="34FE99C7" w14:textId="77777777" w:rsidTr="00350EDC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3ABF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 xml:space="preserve">Disposal of unwanted </w:t>
            </w:r>
            <w:r w:rsidR="005975FB" w:rsidRPr="000D12E1">
              <w:rPr>
                <w:rFonts w:ascii="Arial" w:hAnsi="Arial" w:cs="Arial"/>
                <w:sz w:val="24"/>
                <w:szCs w:val="24"/>
              </w:rPr>
              <w:t xml:space="preserve">loose </w:t>
            </w:r>
            <w:r w:rsidRPr="000D12E1">
              <w:rPr>
                <w:rFonts w:ascii="Arial" w:hAnsi="Arial" w:cs="Arial"/>
                <w:sz w:val="24"/>
                <w:szCs w:val="24"/>
              </w:rPr>
              <w:t>equipment</w:t>
            </w:r>
            <w:r w:rsidR="004B3743" w:rsidRPr="000D12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3743" w:rsidRPr="000D12E1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4B3743" w:rsidRPr="000D12E1">
              <w:rPr>
                <w:rFonts w:ascii="Arial" w:hAnsi="Arial" w:cs="Arial"/>
                <w:sz w:val="24"/>
                <w:szCs w:val="24"/>
              </w:rPr>
              <w:t xml:space="preserve"> laboratory equipment, PCs, electrical goods</w:t>
            </w:r>
            <w:r w:rsidR="000A70E3" w:rsidRPr="000D12E1">
              <w:rPr>
                <w:rFonts w:ascii="Arial" w:hAnsi="Arial" w:cs="Arial"/>
                <w:sz w:val="24"/>
                <w:szCs w:val="24"/>
              </w:rPr>
              <w:t>; also</w:t>
            </w:r>
            <w:r w:rsidR="00371B21" w:rsidRPr="000D12E1">
              <w:rPr>
                <w:rFonts w:ascii="Arial" w:hAnsi="Arial" w:cs="Arial"/>
                <w:sz w:val="24"/>
                <w:szCs w:val="24"/>
              </w:rPr>
              <w:t xml:space="preserve"> lab de-commissioning/de-contamination</w:t>
            </w:r>
          </w:p>
          <w:p w14:paraId="5350974A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CCEB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47D0" w14:textId="77777777" w:rsidR="00371B21" w:rsidRPr="00F9055F" w:rsidRDefault="00371B21" w:rsidP="00D052DF">
            <w:pPr>
              <w:jc w:val="center"/>
              <w:rPr>
                <w:rFonts w:ascii="Arial" w:hAnsi="Arial" w:cs="Arial"/>
              </w:rPr>
            </w:pPr>
          </w:p>
          <w:p w14:paraId="6F51B460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  <w:r w:rsidRPr="00F9055F">
              <w:rPr>
                <w:rFonts w:ascii="Arial" w:hAnsi="Arial" w:cs="Arial"/>
              </w:rPr>
              <w:t>x</w:t>
            </w:r>
          </w:p>
        </w:tc>
        <w:tc>
          <w:tcPr>
            <w:tcW w:w="1274" w:type="dxa"/>
          </w:tcPr>
          <w:p w14:paraId="2C81C176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85A4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</w:tr>
      <w:tr w:rsidR="00BD25F8" w:rsidRPr="00F9055F" w14:paraId="1351F1B9" w14:textId="77777777" w:rsidTr="00350EDC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3FC9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 xml:space="preserve">New furniture and fittings including fixed items such as lab benches, fume cupboards, cold rooms, shelves, notice boards, </w:t>
            </w:r>
            <w:r w:rsidR="004B3743" w:rsidRPr="000D12E1">
              <w:rPr>
                <w:rFonts w:ascii="Arial" w:hAnsi="Arial" w:cs="Arial"/>
                <w:sz w:val="24"/>
                <w:szCs w:val="24"/>
              </w:rPr>
              <w:t xml:space="preserve">fixed white goods in kitchens, </w:t>
            </w:r>
            <w:r w:rsidR="003C3CE0" w:rsidRPr="000D12E1">
              <w:rPr>
                <w:rFonts w:ascii="Arial" w:hAnsi="Arial" w:cs="Arial"/>
                <w:sz w:val="24"/>
                <w:szCs w:val="24"/>
              </w:rPr>
              <w:t xml:space="preserve">internal and external </w:t>
            </w:r>
            <w:r w:rsidRPr="000D12E1">
              <w:rPr>
                <w:rFonts w:ascii="Arial" w:hAnsi="Arial" w:cs="Arial"/>
                <w:sz w:val="24"/>
                <w:szCs w:val="24"/>
              </w:rPr>
              <w:t>signage</w:t>
            </w:r>
            <w:r w:rsidR="00CD5EFD" w:rsidRPr="000D12E1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 w:rsidR="00582152" w:rsidRPr="000D12E1">
              <w:rPr>
                <w:rFonts w:ascii="Arial" w:hAnsi="Arial" w:cs="Arial"/>
                <w:sz w:val="24"/>
                <w:szCs w:val="24"/>
              </w:rPr>
              <w:t xml:space="preserve">external </w:t>
            </w:r>
            <w:r w:rsidR="00CD5EFD" w:rsidRPr="000D12E1">
              <w:rPr>
                <w:rFonts w:ascii="Arial" w:hAnsi="Arial" w:cs="Arial"/>
                <w:sz w:val="24"/>
                <w:szCs w:val="24"/>
              </w:rPr>
              <w:t xml:space="preserve">artwork </w:t>
            </w:r>
            <w:r w:rsidR="00F9055F" w:rsidRPr="000D12E1">
              <w:rPr>
                <w:rFonts w:ascii="Arial" w:hAnsi="Arial" w:cs="Arial"/>
                <w:sz w:val="24"/>
                <w:szCs w:val="24"/>
              </w:rPr>
              <w:t>(project-driven)</w:t>
            </w:r>
          </w:p>
          <w:p w14:paraId="08C1C95B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588A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448F6D9D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  <w:r w:rsidRPr="00F9055F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04D0" w14:textId="77777777" w:rsidR="00BD25F8" w:rsidRPr="00F9055F" w:rsidRDefault="00BD25F8" w:rsidP="00D052D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6A5E852A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81C9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51AADA94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  <w:r w:rsidRPr="00F9055F">
              <w:rPr>
                <w:rFonts w:ascii="Arial" w:hAnsi="Arial" w:cs="Arial"/>
              </w:rPr>
              <w:t>x</w:t>
            </w:r>
          </w:p>
          <w:p w14:paraId="22904273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</w:tr>
      <w:tr w:rsidR="00BD25F8" w:rsidRPr="00F9055F" w14:paraId="52332D69" w14:textId="77777777" w:rsidTr="00350EDC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05AC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 xml:space="preserve">Equipment procured as part of the capital project, </w:t>
            </w:r>
            <w:proofErr w:type="spellStart"/>
            <w:r w:rsidRPr="000D12E1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0D12E1">
              <w:rPr>
                <w:rFonts w:ascii="Arial" w:hAnsi="Arial" w:cs="Arial"/>
                <w:sz w:val="24"/>
                <w:szCs w:val="24"/>
              </w:rPr>
              <w:t xml:space="preserve"> AV equipment, plasma screen, laboratory equipment</w:t>
            </w:r>
            <w:r w:rsidR="00D55D60" w:rsidRPr="000D1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3CE0" w:rsidRPr="000D12E1">
              <w:rPr>
                <w:rFonts w:ascii="Arial" w:hAnsi="Arial" w:cs="Arial"/>
                <w:sz w:val="24"/>
                <w:szCs w:val="24"/>
              </w:rPr>
              <w:t xml:space="preserve">that is not fixed but is fitted and commissioned </w:t>
            </w:r>
            <w:r w:rsidRPr="000D12E1">
              <w:rPr>
                <w:rFonts w:ascii="Arial" w:hAnsi="Arial" w:cs="Arial"/>
                <w:sz w:val="24"/>
                <w:szCs w:val="24"/>
              </w:rPr>
              <w:t>for a Faculty as main user</w:t>
            </w:r>
          </w:p>
          <w:p w14:paraId="73ED6B8D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F8C7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F48A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67D10A8D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  <w:r w:rsidRPr="00F9055F">
              <w:rPr>
                <w:rFonts w:ascii="Arial" w:hAnsi="Arial" w:cs="Arial"/>
              </w:rPr>
              <w:t>x</w:t>
            </w:r>
          </w:p>
          <w:p w14:paraId="598EBACF" w14:textId="77777777" w:rsidR="00BD25F8" w:rsidRPr="00F9055F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53A16D24" w14:textId="77777777" w:rsidR="00BD25F8" w:rsidRPr="00F9055F" w:rsidRDefault="00BD25F8" w:rsidP="00D052D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E507" w14:textId="77777777" w:rsidR="00BD25F8" w:rsidRPr="00F9055F" w:rsidRDefault="00BD25F8" w:rsidP="00D052DF">
            <w:pPr>
              <w:rPr>
                <w:rFonts w:ascii="Arial" w:hAnsi="Arial" w:cs="Arial"/>
              </w:rPr>
            </w:pPr>
          </w:p>
        </w:tc>
      </w:tr>
      <w:tr w:rsidR="00BD25F8" w:rsidRPr="00F9055F" w14:paraId="43331288" w14:textId="77777777" w:rsidTr="00350EDC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F654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 xml:space="preserve">Equipment for communal use procured as part of the project, </w:t>
            </w:r>
            <w:proofErr w:type="spellStart"/>
            <w:r w:rsidRPr="000D12E1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0D12E1">
              <w:rPr>
                <w:rFonts w:ascii="Arial" w:hAnsi="Arial" w:cs="Arial"/>
                <w:sz w:val="24"/>
                <w:szCs w:val="24"/>
              </w:rPr>
              <w:t xml:space="preserve"> AV equipment in central teaching space</w:t>
            </w:r>
          </w:p>
          <w:p w14:paraId="1933BE8C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C604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7A65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6E8240BE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15FAA0E1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4AFA81EC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07571EB1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  <w:r w:rsidRPr="00C14550">
              <w:rPr>
                <w:rFonts w:ascii="Arial" w:hAnsi="Arial" w:cs="Arial"/>
              </w:rPr>
              <w:t>x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2B9E" w14:textId="77777777" w:rsidR="00BD25F8" w:rsidRPr="00C14550" w:rsidRDefault="00BD25F8" w:rsidP="00D052DF">
            <w:pPr>
              <w:rPr>
                <w:rFonts w:ascii="Arial" w:hAnsi="Arial" w:cs="Arial"/>
              </w:rPr>
            </w:pPr>
          </w:p>
        </w:tc>
      </w:tr>
      <w:tr w:rsidR="00BD25F8" w:rsidRPr="00F9055F" w14:paraId="0361703F" w14:textId="77777777" w:rsidTr="00350EDC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AC5D9" w14:textId="77777777" w:rsidR="00BD25F8" w:rsidRPr="000D12E1" w:rsidRDefault="00BD25F8" w:rsidP="00F054CF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 xml:space="preserve">Equipment or other items not procured as part of the capital project for Faculty use </w:t>
            </w:r>
            <w:proofErr w:type="spellStart"/>
            <w:r w:rsidRPr="000D12E1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0D12E1">
              <w:rPr>
                <w:rFonts w:ascii="Arial" w:hAnsi="Arial" w:cs="Arial"/>
                <w:sz w:val="24"/>
                <w:szCs w:val="24"/>
              </w:rPr>
              <w:t xml:space="preserve"> PCs, photocopiers, </w:t>
            </w:r>
            <w:r w:rsidR="00582152" w:rsidRPr="000D12E1">
              <w:rPr>
                <w:rFonts w:ascii="Arial" w:hAnsi="Arial" w:cs="Arial"/>
                <w:sz w:val="24"/>
                <w:szCs w:val="24"/>
              </w:rPr>
              <w:t xml:space="preserve">phones, </w:t>
            </w:r>
            <w:r w:rsidR="004B3743" w:rsidRPr="000D12E1">
              <w:rPr>
                <w:rFonts w:ascii="Arial" w:hAnsi="Arial" w:cs="Arial"/>
                <w:sz w:val="24"/>
                <w:szCs w:val="24"/>
              </w:rPr>
              <w:t xml:space="preserve">unfixed white goods in kitchens, </w:t>
            </w:r>
            <w:r w:rsidR="00F054CF" w:rsidRPr="000D12E1">
              <w:rPr>
                <w:rFonts w:ascii="Arial" w:hAnsi="Arial" w:cs="Arial"/>
                <w:sz w:val="24"/>
                <w:szCs w:val="24"/>
              </w:rPr>
              <w:t>laboratory equipment</w:t>
            </w:r>
          </w:p>
          <w:p w14:paraId="4A64D286" w14:textId="77777777" w:rsidR="00F054CF" w:rsidRPr="000D12E1" w:rsidRDefault="00F054CF" w:rsidP="00F05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3D77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CF73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3D326B15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  <w:r w:rsidRPr="00C14550">
              <w:rPr>
                <w:rFonts w:ascii="Arial" w:hAnsi="Arial" w:cs="Arial"/>
              </w:rPr>
              <w:t>x</w:t>
            </w:r>
          </w:p>
        </w:tc>
        <w:tc>
          <w:tcPr>
            <w:tcW w:w="1274" w:type="dxa"/>
          </w:tcPr>
          <w:p w14:paraId="5242EB94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7CA2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003E33F6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6D5C276D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</w:tr>
      <w:tr w:rsidR="00BD25F8" w:rsidRPr="00F9055F" w14:paraId="30DE0D44" w14:textId="77777777" w:rsidTr="00350EDC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D51D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Simons Voss locks to all internal doors, and indoor CCTV, if required</w:t>
            </w: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8429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15CD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16432B72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  <w:r w:rsidRPr="00C14550">
              <w:rPr>
                <w:rFonts w:ascii="Arial" w:hAnsi="Arial" w:cs="Arial"/>
              </w:rPr>
              <w:t>x</w:t>
            </w:r>
          </w:p>
          <w:p w14:paraId="29E68351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0B48782C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D6DF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</w:tr>
      <w:tr w:rsidR="00BD25F8" w:rsidRPr="00F9055F" w14:paraId="010F395D" w14:textId="77777777" w:rsidTr="00350EDC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C50A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Simons Voss locks to external perimeter doors and lab doors; and external CCTV on main entrances for Faculties</w:t>
            </w:r>
            <w:r w:rsidR="007171DE" w:rsidRPr="000D12E1">
              <w:rPr>
                <w:rFonts w:ascii="Arial" w:hAnsi="Arial" w:cs="Arial"/>
                <w:sz w:val="24"/>
                <w:szCs w:val="24"/>
              </w:rPr>
              <w:t xml:space="preserve"> where necessary </w:t>
            </w:r>
            <w:r w:rsidR="0029552C" w:rsidRPr="000D12E1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171DE" w:rsidRPr="000D12E1">
              <w:rPr>
                <w:rFonts w:ascii="Arial" w:hAnsi="Arial" w:cs="Arial"/>
                <w:sz w:val="24"/>
                <w:szCs w:val="24"/>
              </w:rPr>
              <w:t>supported by Security</w:t>
            </w:r>
            <w:r w:rsidR="0039290C" w:rsidRPr="000D12E1">
              <w:rPr>
                <w:rFonts w:ascii="Arial" w:hAnsi="Arial" w:cs="Arial"/>
                <w:sz w:val="24"/>
                <w:szCs w:val="24"/>
              </w:rPr>
              <w:t>. Mechanical locks will be supplied for all internal doors, except where</w:t>
            </w:r>
            <w:r w:rsidR="004B3743" w:rsidRPr="000D1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90C" w:rsidRPr="000D12E1">
              <w:rPr>
                <w:rFonts w:ascii="Arial" w:hAnsi="Arial" w:cs="Arial"/>
                <w:sz w:val="24"/>
                <w:szCs w:val="24"/>
              </w:rPr>
              <w:t xml:space="preserve">Simons Voss is a necessity for security reasons, </w:t>
            </w:r>
            <w:proofErr w:type="spellStart"/>
            <w:r w:rsidR="0039290C" w:rsidRPr="000D12E1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39290C" w:rsidRPr="000D12E1">
              <w:rPr>
                <w:rFonts w:ascii="Arial" w:hAnsi="Arial" w:cs="Arial"/>
                <w:sz w:val="24"/>
                <w:szCs w:val="24"/>
              </w:rPr>
              <w:t xml:space="preserve"> some labs</w:t>
            </w:r>
          </w:p>
          <w:p w14:paraId="5F26FA94" w14:textId="77777777" w:rsidR="00BD25F8" w:rsidRPr="000D12E1" w:rsidRDefault="00BD25F8" w:rsidP="00D05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F9D2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30E7E95F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  <w:r w:rsidRPr="00C14550">
              <w:rPr>
                <w:rFonts w:ascii="Arial" w:hAnsi="Arial" w:cs="Arial"/>
              </w:rPr>
              <w:t>x</w:t>
            </w:r>
          </w:p>
          <w:p w14:paraId="4BF0B38F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4AD1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6DB413E8" w14:textId="77777777" w:rsidR="00BD25F8" w:rsidRPr="00C14550" w:rsidRDefault="00BD25F8" w:rsidP="00295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06C9F59" w14:textId="77777777" w:rsidR="00BD25F8" w:rsidRPr="00C14550" w:rsidRDefault="00BD25F8" w:rsidP="00295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DABE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  <w:p w14:paraId="2AB99AD1" w14:textId="77777777" w:rsidR="0029552C" w:rsidRPr="00C14550" w:rsidRDefault="0029552C" w:rsidP="0029552C">
            <w:pPr>
              <w:jc w:val="center"/>
              <w:rPr>
                <w:rFonts w:ascii="Arial" w:hAnsi="Arial" w:cs="Arial"/>
              </w:rPr>
            </w:pPr>
            <w:r w:rsidRPr="00C14550">
              <w:rPr>
                <w:rFonts w:ascii="Arial" w:hAnsi="Arial" w:cs="Arial"/>
              </w:rPr>
              <w:t>x</w:t>
            </w:r>
          </w:p>
          <w:p w14:paraId="2D751E11" w14:textId="77777777" w:rsidR="00BD25F8" w:rsidRPr="00C14550" w:rsidRDefault="00BD25F8" w:rsidP="00D052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E79073" w14:textId="77777777" w:rsidR="00C14550" w:rsidRDefault="00C14550" w:rsidP="00350EDC">
      <w:pPr>
        <w:ind w:left="426"/>
        <w:rPr>
          <w:rFonts w:ascii="Arial" w:hAnsi="Arial" w:cs="Arial"/>
          <w:b/>
        </w:rPr>
      </w:pPr>
    </w:p>
    <w:p w14:paraId="201D5F63" w14:textId="037345AC" w:rsidR="002C6596" w:rsidRDefault="002C6596" w:rsidP="00350EDC">
      <w:pPr>
        <w:ind w:left="426"/>
        <w:rPr>
          <w:rFonts w:ascii="Arial" w:hAnsi="Arial" w:cs="Arial"/>
          <w:b/>
          <w:sz w:val="24"/>
          <w:szCs w:val="24"/>
        </w:rPr>
      </w:pPr>
    </w:p>
    <w:p w14:paraId="7844844A" w14:textId="7793FC8C" w:rsidR="00F37976" w:rsidRDefault="00F37976" w:rsidP="00350EDC">
      <w:pPr>
        <w:ind w:left="426"/>
        <w:rPr>
          <w:rFonts w:ascii="Arial" w:hAnsi="Arial" w:cs="Arial"/>
          <w:b/>
          <w:sz w:val="24"/>
          <w:szCs w:val="24"/>
        </w:rPr>
      </w:pPr>
    </w:p>
    <w:p w14:paraId="034C75D5" w14:textId="2751204E" w:rsidR="00F37976" w:rsidRDefault="00F37976" w:rsidP="00350EDC">
      <w:pPr>
        <w:ind w:left="426"/>
        <w:rPr>
          <w:rFonts w:ascii="Arial" w:hAnsi="Arial" w:cs="Arial"/>
          <w:b/>
          <w:sz w:val="24"/>
          <w:szCs w:val="24"/>
        </w:rPr>
      </w:pPr>
    </w:p>
    <w:p w14:paraId="6E512574" w14:textId="3A16D12C" w:rsidR="00F37976" w:rsidRDefault="00F37976" w:rsidP="00350EDC">
      <w:pPr>
        <w:ind w:left="426"/>
        <w:rPr>
          <w:rFonts w:ascii="Arial" w:hAnsi="Arial" w:cs="Arial"/>
          <w:b/>
          <w:sz w:val="24"/>
          <w:szCs w:val="24"/>
        </w:rPr>
      </w:pPr>
    </w:p>
    <w:p w14:paraId="18634C8B" w14:textId="77777777" w:rsidR="00F37976" w:rsidRPr="000D12E1" w:rsidRDefault="00F37976" w:rsidP="00350EDC">
      <w:pPr>
        <w:ind w:left="426"/>
        <w:rPr>
          <w:rFonts w:ascii="Arial" w:hAnsi="Arial" w:cs="Arial"/>
          <w:b/>
          <w:sz w:val="24"/>
          <w:szCs w:val="24"/>
        </w:rPr>
      </w:pPr>
    </w:p>
    <w:p w14:paraId="70EEE0A7" w14:textId="1DFA22FF" w:rsidR="00F50DE2" w:rsidRPr="000D12E1" w:rsidRDefault="00F50DE2" w:rsidP="00F37976">
      <w:pPr>
        <w:pStyle w:val="Heading3"/>
      </w:pPr>
      <w:r w:rsidRPr="000D12E1">
        <w:lastRenderedPageBreak/>
        <w:t>Summary</w:t>
      </w:r>
      <w:r w:rsidR="00BD25F8" w:rsidRPr="000D12E1">
        <w:t xml:space="preserve"> for Professional </w:t>
      </w:r>
      <w:r w:rsidR="003A5A41" w:rsidRPr="000D12E1">
        <w:t xml:space="preserve">Services </w:t>
      </w:r>
      <w:r w:rsidR="00BD25F8" w:rsidRPr="000D12E1">
        <w:t xml:space="preserve">and Communal </w:t>
      </w:r>
      <w:r w:rsidR="003A5A41" w:rsidRPr="000D12E1">
        <w:t>Space</w:t>
      </w:r>
    </w:p>
    <w:p w14:paraId="172D4B4D" w14:textId="77777777" w:rsidR="00D92CF8" w:rsidRPr="000D12E1" w:rsidRDefault="00D92CF8" w:rsidP="00350EDC">
      <w:pPr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4"/>
        <w:gridCol w:w="1657"/>
        <w:gridCol w:w="1695"/>
      </w:tblGrid>
      <w:tr w:rsidR="007171DE" w:rsidRPr="00F9055F" w14:paraId="003FBC2C" w14:textId="77777777" w:rsidTr="00350EDC">
        <w:tc>
          <w:tcPr>
            <w:tcW w:w="6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7A5A" w14:textId="77777777" w:rsidR="007171DE" w:rsidRPr="000D12E1" w:rsidRDefault="007171DE" w:rsidP="004B37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12E1">
              <w:rPr>
                <w:rFonts w:ascii="Arial" w:hAnsi="Arial" w:cs="Arial"/>
                <w:b/>
                <w:sz w:val="24"/>
                <w:szCs w:val="24"/>
              </w:rPr>
              <w:t>Who pays for what within capital project costs?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9D13" w14:textId="77777777" w:rsidR="007171DE" w:rsidRPr="000D12E1" w:rsidRDefault="007171DE" w:rsidP="009B19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12E1">
              <w:rPr>
                <w:rFonts w:ascii="Arial" w:hAnsi="Arial" w:cs="Arial"/>
                <w:b/>
                <w:sz w:val="24"/>
                <w:szCs w:val="24"/>
              </w:rPr>
              <w:t xml:space="preserve">Professional Services pay 100% </w:t>
            </w:r>
          </w:p>
        </w:tc>
        <w:tc>
          <w:tcPr>
            <w:tcW w:w="1701" w:type="dxa"/>
            <w:shd w:val="clear" w:color="auto" w:fill="auto"/>
          </w:tcPr>
          <w:p w14:paraId="30CE953B" w14:textId="77777777" w:rsidR="007171DE" w:rsidRPr="000D12E1" w:rsidRDefault="007171DE" w:rsidP="009B19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12E1">
              <w:rPr>
                <w:rFonts w:ascii="Arial" w:hAnsi="Arial" w:cs="Arial"/>
                <w:b/>
                <w:sz w:val="24"/>
                <w:szCs w:val="24"/>
              </w:rPr>
              <w:t xml:space="preserve">Capital Programme pays 100% </w:t>
            </w:r>
          </w:p>
        </w:tc>
      </w:tr>
      <w:tr w:rsidR="007171DE" w:rsidRPr="00F9055F" w14:paraId="63A149D4" w14:textId="77777777" w:rsidTr="00350EDC">
        <w:tc>
          <w:tcPr>
            <w:tcW w:w="6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9F41" w14:textId="77777777" w:rsidR="007171DE" w:rsidRPr="000D12E1" w:rsidRDefault="007171DE" w:rsidP="008C569C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Building construction or refurbishment for a Professional Service</w:t>
            </w:r>
            <w:r w:rsidR="0039290C" w:rsidRPr="000D12E1">
              <w:rPr>
                <w:rFonts w:ascii="Arial" w:hAnsi="Arial" w:cs="Arial"/>
                <w:sz w:val="24"/>
                <w:szCs w:val="24"/>
              </w:rPr>
              <w:t>,</w:t>
            </w:r>
            <w:r w:rsidR="0029552C" w:rsidRPr="000D12E1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39290C" w:rsidRPr="000D12E1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29552C" w:rsidRPr="000D12E1">
              <w:rPr>
                <w:rFonts w:ascii="Arial" w:hAnsi="Arial" w:cs="Arial"/>
                <w:sz w:val="24"/>
                <w:szCs w:val="24"/>
              </w:rPr>
              <w:t>communal space such as central teaching rooms, coffee bar</w:t>
            </w:r>
            <w:r w:rsidR="0039290C" w:rsidRPr="000D12E1">
              <w:rPr>
                <w:rFonts w:ascii="Arial" w:hAnsi="Arial" w:cs="Arial"/>
                <w:sz w:val="24"/>
                <w:szCs w:val="24"/>
              </w:rPr>
              <w:t>s</w:t>
            </w:r>
            <w:r w:rsidR="0029552C" w:rsidRPr="000D12E1">
              <w:rPr>
                <w:rFonts w:ascii="Arial" w:hAnsi="Arial" w:cs="Arial"/>
                <w:sz w:val="24"/>
                <w:szCs w:val="24"/>
              </w:rPr>
              <w:t xml:space="preserve"> etc</w:t>
            </w:r>
          </w:p>
          <w:p w14:paraId="53444E17" w14:textId="77777777" w:rsidR="007171DE" w:rsidRPr="000D12E1" w:rsidRDefault="007171DE" w:rsidP="008C5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A989" w14:textId="77777777" w:rsidR="007171DE" w:rsidRPr="00F9055F" w:rsidRDefault="007171DE" w:rsidP="008C569C">
            <w:pPr>
              <w:jc w:val="center"/>
              <w:rPr>
                <w:rFonts w:ascii="Arial" w:hAnsi="Arial" w:cs="Arial"/>
              </w:rPr>
            </w:pPr>
          </w:p>
          <w:p w14:paraId="5C98DD29" w14:textId="77777777" w:rsidR="007171DE" w:rsidRPr="00F9055F" w:rsidRDefault="007171DE" w:rsidP="008C5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69596A" w14:textId="77777777" w:rsidR="007171DE" w:rsidRPr="00F9055F" w:rsidRDefault="007171DE" w:rsidP="008C569C">
            <w:pPr>
              <w:jc w:val="center"/>
              <w:rPr>
                <w:rFonts w:ascii="Arial" w:hAnsi="Arial" w:cs="Arial"/>
              </w:rPr>
            </w:pPr>
            <w:r w:rsidRPr="00F9055F">
              <w:rPr>
                <w:rFonts w:ascii="Arial" w:hAnsi="Arial" w:cs="Arial"/>
              </w:rPr>
              <w:t>x</w:t>
            </w:r>
          </w:p>
          <w:p w14:paraId="37982A73" w14:textId="77777777" w:rsidR="007171DE" w:rsidRPr="00F9055F" w:rsidRDefault="007171DE" w:rsidP="008C569C">
            <w:pPr>
              <w:jc w:val="center"/>
              <w:rPr>
                <w:rFonts w:ascii="Arial" w:hAnsi="Arial" w:cs="Arial"/>
              </w:rPr>
            </w:pPr>
          </w:p>
        </w:tc>
      </w:tr>
      <w:tr w:rsidR="007171DE" w:rsidRPr="00F9055F" w14:paraId="3E99208A" w14:textId="77777777" w:rsidTr="00350EDC">
        <w:tc>
          <w:tcPr>
            <w:tcW w:w="6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D583" w14:textId="77777777" w:rsidR="007171DE" w:rsidRPr="000D12E1" w:rsidRDefault="007171DE" w:rsidP="005C007E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Significant Backlog Maintenance cost</w:t>
            </w:r>
            <w:r w:rsidR="008550A8" w:rsidRPr="000D12E1">
              <w:rPr>
                <w:rFonts w:ascii="Arial" w:hAnsi="Arial" w:cs="Arial"/>
                <w:sz w:val="24"/>
                <w:szCs w:val="24"/>
              </w:rPr>
              <w:t xml:space="preserve"> element</w:t>
            </w:r>
            <w:r w:rsidRPr="000D12E1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8550A8" w:rsidRPr="000D12E1">
              <w:rPr>
                <w:rFonts w:ascii="Arial" w:hAnsi="Arial" w:cs="Arial"/>
                <w:sz w:val="24"/>
                <w:szCs w:val="24"/>
              </w:rPr>
              <w:t xml:space="preserve">of a project </w:t>
            </w:r>
            <w:r w:rsidRPr="000D12E1">
              <w:rPr>
                <w:rFonts w:ascii="Arial" w:hAnsi="Arial" w:cs="Arial"/>
                <w:sz w:val="24"/>
                <w:szCs w:val="24"/>
              </w:rPr>
              <w:t>as part of a refurbishment</w:t>
            </w:r>
            <w:r w:rsidR="008550A8" w:rsidRPr="000D12E1">
              <w:rPr>
                <w:rFonts w:ascii="Arial" w:hAnsi="Arial" w:cs="Arial"/>
                <w:sz w:val="24"/>
                <w:szCs w:val="24"/>
              </w:rPr>
              <w:t>;</w:t>
            </w:r>
            <w:r w:rsidRPr="000D12E1">
              <w:rPr>
                <w:rFonts w:ascii="Arial" w:hAnsi="Arial" w:cs="Arial"/>
                <w:sz w:val="24"/>
                <w:szCs w:val="24"/>
              </w:rPr>
              <w:t xml:space="preserve"> or measures to improve sustainability</w:t>
            </w:r>
          </w:p>
          <w:p w14:paraId="4D9903FE" w14:textId="77777777" w:rsidR="007171DE" w:rsidRPr="000D12E1" w:rsidRDefault="007171DE" w:rsidP="005C00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F56E" w14:textId="77777777" w:rsidR="007171DE" w:rsidRPr="00F9055F" w:rsidRDefault="007171DE" w:rsidP="001475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E61B62" w14:textId="77777777" w:rsidR="007171DE" w:rsidRPr="00F9055F" w:rsidRDefault="007171DE" w:rsidP="00147549">
            <w:pPr>
              <w:jc w:val="center"/>
              <w:rPr>
                <w:rFonts w:ascii="Arial" w:hAnsi="Arial" w:cs="Arial"/>
              </w:rPr>
            </w:pPr>
          </w:p>
          <w:p w14:paraId="58B54EB3" w14:textId="77777777" w:rsidR="007171DE" w:rsidRPr="00F9055F" w:rsidRDefault="007171DE" w:rsidP="00147549">
            <w:pPr>
              <w:jc w:val="center"/>
              <w:rPr>
                <w:rFonts w:ascii="Arial" w:hAnsi="Arial" w:cs="Arial"/>
              </w:rPr>
            </w:pPr>
            <w:r w:rsidRPr="00F9055F">
              <w:rPr>
                <w:rFonts w:ascii="Arial" w:hAnsi="Arial" w:cs="Arial"/>
              </w:rPr>
              <w:t>x</w:t>
            </w:r>
          </w:p>
        </w:tc>
      </w:tr>
      <w:tr w:rsidR="007171DE" w:rsidRPr="00F9055F" w14:paraId="12418639" w14:textId="77777777" w:rsidTr="00350EDC">
        <w:tc>
          <w:tcPr>
            <w:tcW w:w="6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1D1C" w14:textId="77777777" w:rsidR="007171DE" w:rsidRPr="000D12E1" w:rsidRDefault="007171DE" w:rsidP="00147549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Removal/decant costs and disposal of old furniture and fixed specialist equipment</w:t>
            </w:r>
          </w:p>
          <w:p w14:paraId="01A37FE3" w14:textId="77777777" w:rsidR="007171DE" w:rsidRPr="000D12E1" w:rsidRDefault="007171DE" w:rsidP="00147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CA3A" w14:textId="77777777" w:rsidR="007171DE" w:rsidRPr="00F9055F" w:rsidRDefault="007171DE" w:rsidP="00147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F41E11" w14:textId="77777777" w:rsidR="007171DE" w:rsidRPr="00F9055F" w:rsidRDefault="007171DE" w:rsidP="00147549">
            <w:pPr>
              <w:jc w:val="center"/>
              <w:rPr>
                <w:rFonts w:ascii="Arial" w:hAnsi="Arial" w:cs="Arial"/>
              </w:rPr>
            </w:pPr>
          </w:p>
          <w:p w14:paraId="7E322F17" w14:textId="77777777" w:rsidR="007171DE" w:rsidRPr="00F9055F" w:rsidRDefault="007171DE" w:rsidP="003C3CE0">
            <w:pPr>
              <w:jc w:val="center"/>
              <w:rPr>
                <w:rFonts w:ascii="Arial" w:hAnsi="Arial" w:cs="Arial"/>
              </w:rPr>
            </w:pPr>
            <w:r w:rsidRPr="00F9055F">
              <w:rPr>
                <w:rFonts w:ascii="Arial" w:hAnsi="Arial" w:cs="Arial"/>
              </w:rPr>
              <w:t>x</w:t>
            </w:r>
          </w:p>
          <w:p w14:paraId="6645790B" w14:textId="77777777" w:rsidR="007171DE" w:rsidRPr="00F9055F" w:rsidRDefault="007171DE" w:rsidP="00147549">
            <w:pPr>
              <w:jc w:val="center"/>
              <w:rPr>
                <w:rFonts w:ascii="Arial" w:hAnsi="Arial" w:cs="Arial"/>
              </w:rPr>
            </w:pPr>
          </w:p>
        </w:tc>
      </w:tr>
      <w:tr w:rsidR="007171DE" w:rsidRPr="00F9055F" w14:paraId="2029534F" w14:textId="77777777" w:rsidTr="00350EDC">
        <w:tc>
          <w:tcPr>
            <w:tcW w:w="6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E968" w14:textId="77777777" w:rsidR="007171DE" w:rsidRPr="000D12E1" w:rsidRDefault="007171DE" w:rsidP="00BD5DB1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 xml:space="preserve">Disposal of unwanted </w:t>
            </w:r>
            <w:r w:rsidR="0029552C" w:rsidRPr="000D12E1">
              <w:rPr>
                <w:rFonts w:ascii="Arial" w:hAnsi="Arial" w:cs="Arial"/>
                <w:sz w:val="24"/>
                <w:szCs w:val="24"/>
              </w:rPr>
              <w:t xml:space="preserve">loose </w:t>
            </w:r>
            <w:r w:rsidRPr="000D12E1">
              <w:rPr>
                <w:rFonts w:ascii="Arial" w:hAnsi="Arial" w:cs="Arial"/>
                <w:sz w:val="24"/>
                <w:szCs w:val="24"/>
              </w:rPr>
              <w:t>equipment</w:t>
            </w:r>
            <w:r w:rsidR="004B3743" w:rsidRPr="000D12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B3743" w:rsidRPr="000D12E1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4B3743" w:rsidRPr="000D12E1">
              <w:rPr>
                <w:rFonts w:ascii="Arial" w:hAnsi="Arial" w:cs="Arial"/>
                <w:sz w:val="24"/>
                <w:szCs w:val="24"/>
              </w:rPr>
              <w:t xml:space="preserve"> PCs, electrical goods</w:t>
            </w:r>
          </w:p>
          <w:p w14:paraId="47F53D88" w14:textId="77777777" w:rsidR="007171DE" w:rsidRPr="000D12E1" w:rsidRDefault="007171DE" w:rsidP="00BD5D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62E6" w14:textId="77777777" w:rsidR="007171DE" w:rsidRPr="00F9055F" w:rsidRDefault="007171DE" w:rsidP="005970E8">
            <w:pPr>
              <w:jc w:val="center"/>
              <w:rPr>
                <w:rFonts w:ascii="Arial" w:hAnsi="Arial" w:cs="Arial"/>
              </w:rPr>
            </w:pPr>
            <w:r w:rsidRPr="00F9055F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14:paraId="754CD8E2" w14:textId="77777777" w:rsidR="007171DE" w:rsidRPr="00F9055F" w:rsidRDefault="007171DE" w:rsidP="00147549">
            <w:pPr>
              <w:jc w:val="center"/>
              <w:rPr>
                <w:rFonts w:ascii="Arial" w:hAnsi="Arial" w:cs="Arial"/>
              </w:rPr>
            </w:pPr>
          </w:p>
        </w:tc>
      </w:tr>
      <w:tr w:rsidR="007171DE" w:rsidRPr="00F9055F" w14:paraId="0E66918F" w14:textId="77777777" w:rsidTr="00350EDC">
        <w:tc>
          <w:tcPr>
            <w:tcW w:w="6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DC541" w14:textId="77777777" w:rsidR="007171DE" w:rsidRPr="000D12E1" w:rsidRDefault="007171DE" w:rsidP="00147549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New furniture and fittings including shelves, notice boards, internal and external signage</w:t>
            </w:r>
            <w:r w:rsidR="002A042B" w:rsidRPr="000D12E1">
              <w:rPr>
                <w:rFonts w:ascii="Arial" w:hAnsi="Arial" w:cs="Arial"/>
                <w:sz w:val="24"/>
                <w:szCs w:val="24"/>
              </w:rPr>
              <w:t xml:space="preserve"> and artwork</w:t>
            </w:r>
          </w:p>
          <w:p w14:paraId="4A353A5C" w14:textId="77777777" w:rsidR="007171DE" w:rsidRPr="000D12E1" w:rsidRDefault="007171DE" w:rsidP="00147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BD0D" w14:textId="77777777" w:rsidR="007171DE" w:rsidRPr="00F9055F" w:rsidRDefault="007171DE" w:rsidP="00147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BD8F90" w14:textId="77777777" w:rsidR="007171DE" w:rsidRPr="00F9055F" w:rsidRDefault="007171DE" w:rsidP="00147549">
            <w:pPr>
              <w:jc w:val="center"/>
              <w:rPr>
                <w:rFonts w:ascii="Arial" w:hAnsi="Arial" w:cs="Arial"/>
              </w:rPr>
            </w:pPr>
          </w:p>
          <w:p w14:paraId="09395A43" w14:textId="77777777" w:rsidR="007171DE" w:rsidRPr="00F9055F" w:rsidRDefault="007171DE" w:rsidP="003C3CE0">
            <w:pPr>
              <w:jc w:val="center"/>
              <w:rPr>
                <w:rFonts w:ascii="Arial" w:hAnsi="Arial" w:cs="Arial"/>
              </w:rPr>
            </w:pPr>
            <w:r w:rsidRPr="00F9055F">
              <w:rPr>
                <w:rFonts w:ascii="Arial" w:hAnsi="Arial" w:cs="Arial"/>
              </w:rPr>
              <w:t>x</w:t>
            </w:r>
          </w:p>
          <w:p w14:paraId="784872BC" w14:textId="77777777" w:rsidR="007171DE" w:rsidRPr="00F9055F" w:rsidRDefault="007171DE" w:rsidP="00147549">
            <w:pPr>
              <w:jc w:val="center"/>
              <w:rPr>
                <w:rFonts w:ascii="Arial" w:hAnsi="Arial" w:cs="Arial"/>
              </w:rPr>
            </w:pPr>
          </w:p>
        </w:tc>
      </w:tr>
      <w:tr w:rsidR="007171DE" w:rsidRPr="00F9055F" w14:paraId="6127D930" w14:textId="77777777" w:rsidTr="00350EDC">
        <w:tc>
          <w:tcPr>
            <w:tcW w:w="6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C6C9" w14:textId="77777777" w:rsidR="007171DE" w:rsidRPr="000D12E1" w:rsidRDefault="007171DE" w:rsidP="00147549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 xml:space="preserve">Equipment procured as part of the capital project, </w:t>
            </w:r>
            <w:proofErr w:type="spellStart"/>
            <w:r w:rsidRPr="000D12E1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0D12E1">
              <w:rPr>
                <w:rFonts w:ascii="Arial" w:hAnsi="Arial" w:cs="Arial"/>
                <w:sz w:val="24"/>
                <w:szCs w:val="24"/>
              </w:rPr>
              <w:t xml:space="preserve"> AV equipment, plasma screens, white goods in kitchens</w:t>
            </w:r>
          </w:p>
          <w:p w14:paraId="3CD8CA76" w14:textId="77777777" w:rsidR="007171DE" w:rsidRPr="000D12E1" w:rsidRDefault="007171DE" w:rsidP="00147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E89B" w14:textId="77777777" w:rsidR="007171DE" w:rsidRPr="00F9055F" w:rsidRDefault="007171DE" w:rsidP="00147549">
            <w:pPr>
              <w:rPr>
                <w:rFonts w:ascii="Arial" w:hAnsi="Arial" w:cs="Arial"/>
              </w:rPr>
            </w:pPr>
          </w:p>
          <w:p w14:paraId="0677770D" w14:textId="77777777" w:rsidR="007171DE" w:rsidRPr="00F9055F" w:rsidRDefault="007171DE" w:rsidP="001475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1EE10D" w14:textId="77777777" w:rsidR="007171DE" w:rsidRPr="00F9055F" w:rsidRDefault="007171DE" w:rsidP="00147549">
            <w:pPr>
              <w:rPr>
                <w:rFonts w:ascii="Arial" w:hAnsi="Arial" w:cs="Arial"/>
              </w:rPr>
            </w:pPr>
          </w:p>
          <w:p w14:paraId="2BAC7376" w14:textId="77777777" w:rsidR="007171DE" w:rsidRPr="00F9055F" w:rsidRDefault="007171DE" w:rsidP="003C3CE0">
            <w:pPr>
              <w:jc w:val="center"/>
              <w:rPr>
                <w:rFonts w:ascii="Arial" w:hAnsi="Arial" w:cs="Arial"/>
              </w:rPr>
            </w:pPr>
            <w:r w:rsidRPr="00F9055F">
              <w:rPr>
                <w:rFonts w:ascii="Arial" w:hAnsi="Arial" w:cs="Arial"/>
              </w:rPr>
              <w:t>x</w:t>
            </w:r>
          </w:p>
          <w:p w14:paraId="11D63123" w14:textId="77777777" w:rsidR="007171DE" w:rsidRPr="00F9055F" w:rsidRDefault="007171DE" w:rsidP="00147549">
            <w:pPr>
              <w:rPr>
                <w:rFonts w:ascii="Arial" w:hAnsi="Arial" w:cs="Arial"/>
              </w:rPr>
            </w:pPr>
          </w:p>
        </w:tc>
      </w:tr>
      <w:tr w:rsidR="007171DE" w:rsidRPr="00C14550" w14:paraId="29A1F9A2" w14:textId="77777777" w:rsidTr="00350EDC">
        <w:tc>
          <w:tcPr>
            <w:tcW w:w="6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FF99" w14:textId="77777777" w:rsidR="007171DE" w:rsidRPr="000D12E1" w:rsidRDefault="007171DE" w:rsidP="00F054CF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 xml:space="preserve">Equipment or other items not procured as part of the capital project for Service use </w:t>
            </w:r>
            <w:proofErr w:type="spellStart"/>
            <w:r w:rsidRPr="000D12E1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0D12E1">
              <w:rPr>
                <w:rFonts w:ascii="Arial" w:hAnsi="Arial" w:cs="Arial"/>
                <w:sz w:val="24"/>
                <w:szCs w:val="24"/>
              </w:rPr>
              <w:t xml:space="preserve"> PCs, photocopiers</w:t>
            </w:r>
            <w:r w:rsidR="00582152" w:rsidRPr="000D12E1">
              <w:rPr>
                <w:rFonts w:ascii="Arial" w:hAnsi="Arial" w:cs="Arial"/>
                <w:sz w:val="24"/>
                <w:szCs w:val="24"/>
              </w:rPr>
              <w:t>, phones</w:t>
            </w:r>
            <w:r w:rsidR="00EE1BC5" w:rsidRPr="000D12E1">
              <w:rPr>
                <w:rFonts w:ascii="Arial" w:hAnsi="Arial" w:cs="Arial"/>
                <w:sz w:val="24"/>
                <w:szCs w:val="24"/>
              </w:rPr>
              <w:t>, replacement AV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5F69" w14:textId="77777777" w:rsidR="007171DE" w:rsidRPr="00C14550" w:rsidRDefault="007171DE" w:rsidP="00147549">
            <w:pPr>
              <w:jc w:val="center"/>
              <w:rPr>
                <w:rFonts w:ascii="Arial" w:hAnsi="Arial" w:cs="Arial"/>
              </w:rPr>
            </w:pPr>
          </w:p>
          <w:p w14:paraId="2325F5EB" w14:textId="77777777" w:rsidR="0029552C" w:rsidRPr="00C14550" w:rsidRDefault="0029552C" w:rsidP="0029552C">
            <w:pPr>
              <w:jc w:val="center"/>
              <w:rPr>
                <w:rFonts w:ascii="Arial" w:hAnsi="Arial" w:cs="Arial"/>
              </w:rPr>
            </w:pPr>
            <w:r w:rsidRPr="00C14550">
              <w:rPr>
                <w:rFonts w:ascii="Arial" w:hAnsi="Arial" w:cs="Arial"/>
              </w:rPr>
              <w:t>x</w:t>
            </w:r>
          </w:p>
          <w:p w14:paraId="025809BF" w14:textId="77777777" w:rsidR="0029552C" w:rsidRPr="00C14550" w:rsidRDefault="0029552C" w:rsidP="00295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7AA1E8" w14:textId="77777777" w:rsidR="007171DE" w:rsidRPr="00C14550" w:rsidRDefault="007171DE" w:rsidP="00147549">
            <w:pPr>
              <w:jc w:val="center"/>
              <w:rPr>
                <w:rFonts w:ascii="Arial" w:hAnsi="Arial" w:cs="Arial"/>
              </w:rPr>
            </w:pPr>
          </w:p>
        </w:tc>
      </w:tr>
      <w:tr w:rsidR="007171DE" w:rsidRPr="00C14550" w14:paraId="20C5DC40" w14:textId="77777777" w:rsidTr="00350EDC">
        <w:tc>
          <w:tcPr>
            <w:tcW w:w="6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76BC" w14:textId="1C60E0E3" w:rsidR="007171DE" w:rsidRPr="000D12E1" w:rsidRDefault="007171DE" w:rsidP="00C14550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 xml:space="preserve">Simons Voss locks to </w:t>
            </w:r>
            <w:r w:rsidR="0029552C" w:rsidRPr="000D12E1">
              <w:rPr>
                <w:rFonts w:ascii="Arial" w:hAnsi="Arial" w:cs="Arial"/>
                <w:sz w:val="24"/>
                <w:szCs w:val="24"/>
              </w:rPr>
              <w:t>in</w:t>
            </w:r>
            <w:r w:rsidRPr="000D12E1">
              <w:rPr>
                <w:rFonts w:ascii="Arial" w:hAnsi="Arial" w:cs="Arial"/>
                <w:sz w:val="24"/>
                <w:szCs w:val="24"/>
              </w:rPr>
              <w:t xml:space="preserve">ternal </w:t>
            </w:r>
            <w:r w:rsidR="00C14550" w:rsidRPr="000D12E1">
              <w:rPr>
                <w:rFonts w:ascii="Arial" w:hAnsi="Arial" w:cs="Arial"/>
                <w:sz w:val="24"/>
                <w:szCs w:val="24"/>
              </w:rPr>
              <w:t>d</w:t>
            </w:r>
            <w:r w:rsidRPr="000D12E1">
              <w:rPr>
                <w:rFonts w:ascii="Arial" w:hAnsi="Arial" w:cs="Arial"/>
                <w:sz w:val="24"/>
                <w:szCs w:val="24"/>
              </w:rPr>
              <w:t>oors</w:t>
            </w:r>
            <w:r w:rsidR="0029552C" w:rsidRPr="000D12E1">
              <w:rPr>
                <w:rFonts w:ascii="Arial" w:hAnsi="Arial" w:cs="Arial"/>
                <w:sz w:val="24"/>
                <w:szCs w:val="24"/>
              </w:rPr>
              <w:t xml:space="preserve">, and indoor CCTV 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F26A" w14:textId="77777777" w:rsidR="0029552C" w:rsidRPr="00C14550" w:rsidRDefault="0029552C" w:rsidP="0029552C">
            <w:pPr>
              <w:jc w:val="center"/>
              <w:rPr>
                <w:rFonts w:ascii="Arial" w:hAnsi="Arial" w:cs="Arial"/>
              </w:rPr>
            </w:pPr>
            <w:r w:rsidRPr="00C14550">
              <w:rPr>
                <w:rFonts w:ascii="Arial" w:hAnsi="Arial" w:cs="Arial"/>
              </w:rPr>
              <w:t>x</w:t>
            </w:r>
          </w:p>
          <w:p w14:paraId="087D7BB7" w14:textId="77777777" w:rsidR="007171DE" w:rsidRPr="00C14550" w:rsidRDefault="007171DE" w:rsidP="001475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FFDF98" w14:textId="77777777" w:rsidR="007171DE" w:rsidRPr="00C14550" w:rsidRDefault="007171DE" w:rsidP="003C3CE0">
            <w:pPr>
              <w:jc w:val="center"/>
              <w:rPr>
                <w:rFonts w:ascii="Arial" w:hAnsi="Arial" w:cs="Arial"/>
              </w:rPr>
            </w:pPr>
          </w:p>
          <w:p w14:paraId="033198F7" w14:textId="77777777" w:rsidR="007171DE" w:rsidRPr="00C14550" w:rsidRDefault="007171DE" w:rsidP="0029552C">
            <w:pPr>
              <w:jc w:val="center"/>
              <w:rPr>
                <w:rFonts w:ascii="Arial" w:hAnsi="Arial" w:cs="Arial"/>
              </w:rPr>
            </w:pPr>
          </w:p>
        </w:tc>
      </w:tr>
      <w:tr w:rsidR="007171DE" w:rsidRPr="00C14550" w14:paraId="5E14F6C9" w14:textId="77777777" w:rsidTr="00350EDC">
        <w:tc>
          <w:tcPr>
            <w:tcW w:w="6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56A5" w14:textId="77777777" w:rsidR="007171DE" w:rsidRPr="000D12E1" w:rsidRDefault="007171DE" w:rsidP="00D052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Simons Voss locks to external perimeter doors; and external CCTV on main entrances for Professional Services</w:t>
            </w:r>
            <w:r w:rsidR="00EE1BC5" w:rsidRPr="000D12E1">
              <w:rPr>
                <w:rFonts w:ascii="Arial" w:hAnsi="Arial" w:cs="Arial"/>
                <w:sz w:val="24"/>
                <w:szCs w:val="24"/>
              </w:rPr>
              <w:t xml:space="preserve"> where necessary</w:t>
            </w:r>
            <w:r w:rsidR="0039290C" w:rsidRPr="000D12E1">
              <w:rPr>
                <w:rFonts w:ascii="Arial" w:hAnsi="Arial" w:cs="Arial"/>
                <w:sz w:val="24"/>
                <w:szCs w:val="24"/>
              </w:rPr>
              <w:t>. Mechanical locks will be supplied for all internal doors except where Simons Voss is a necessity for security reasons</w:t>
            </w:r>
          </w:p>
          <w:p w14:paraId="38CBEF27" w14:textId="77777777" w:rsidR="007171DE" w:rsidRPr="000D12E1" w:rsidRDefault="007171DE" w:rsidP="00D05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84A3" w14:textId="77777777" w:rsidR="007171DE" w:rsidRPr="00C14550" w:rsidRDefault="007171DE" w:rsidP="00D05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C7100C" w14:textId="77777777" w:rsidR="007171DE" w:rsidRPr="00C14550" w:rsidRDefault="007171DE" w:rsidP="00D052DF">
            <w:pPr>
              <w:jc w:val="center"/>
              <w:rPr>
                <w:rFonts w:ascii="Arial" w:hAnsi="Arial" w:cs="Arial"/>
              </w:rPr>
            </w:pPr>
          </w:p>
          <w:p w14:paraId="02BF63FF" w14:textId="77777777" w:rsidR="007171DE" w:rsidRPr="00C14550" w:rsidRDefault="00341789" w:rsidP="003D43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55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14:paraId="036BEAA2" w14:textId="77777777" w:rsidR="007171DE" w:rsidRPr="00C14550" w:rsidRDefault="007171DE" w:rsidP="00D052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C90ED7" w14:textId="77777777" w:rsidR="00925F9D" w:rsidRPr="000D12E1" w:rsidRDefault="00925F9D" w:rsidP="00350EDC">
      <w:pPr>
        <w:ind w:left="426"/>
        <w:rPr>
          <w:rFonts w:ascii="Arial" w:hAnsi="Arial" w:cs="Arial"/>
          <w:b/>
          <w:sz w:val="24"/>
          <w:szCs w:val="24"/>
        </w:rPr>
      </w:pPr>
    </w:p>
    <w:p w14:paraId="3C5C2F34" w14:textId="3E91A092" w:rsidR="00D27867" w:rsidRPr="000D12E1" w:rsidRDefault="00D27867" w:rsidP="00F37976">
      <w:pPr>
        <w:pStyle w:val="Heading3"/>
      </w:pPr>
      <w:r w:rsidRPr="000D12E1">
        <w:t>Summary for All Projects</w:t>
      </w:r>
    </w:p>
    <w:p w14:paraId="378BB57C" w14:textId="77777777" w:rsidR="00D27867" w:rsidRPr="000D12E1" w:rsidRDefault="00D27867" w:rsidP="00350EDC">
      <w:pPr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1418"/>
        <w:gridCol w:w="1276"/>
        <w:gridCol w:w="992"/>
        <w:gridCol w:w="1276"/>
      </w:tblGrid>
      <w:tr w:rsidR="003506EC" w:rsidRPr="00C14550" w14:paraId="297864E0" w14:textId="77777777" w:rsidTr="000D12E1"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167D" w14:textId="77777777" w:rsidR="00CD5EFD" w:rsidRPr="000D12E1" w:rsidRDefault="00CD5EFD" w:rsidP="005961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12E1">
              <w:rPr>
                <w:rFonts w:ascii="Arial" w:hAnsi="Arial" w:cs="Arial"/>
                <w:b/>
                <w:sz w:val="24"/>
                <w:szCs w:val="24"/>
              </w:rPr>
              <w:t>Who pays for what furniture, fittings and equipment costs?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174FA" w14:textId="77777777" w:rsidR="00CD5EFD" w:rsidRPr="000D12E1" w:rsidRDefault="00CD5EFD" w:rsidP="00596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E1">
              <w:rPr>
                <w:rFonts w:ascii="Arial" w:hAnsi="Arial" w:cs="Arial"/>
                <w:b/>
                <w:sz w:val="20"/>
                <w:szCs w:val="20"/>
              </w:rPr>
              <w:t xml:space="preserve">Professional Services </w:t>
            </w:r>
          </w:p>
        </w:tc>
        <w:tc>
          <w:tcPr>
            <w:tcW w:w="1276" w:type="dxa"/>
            <w:shd w:val="clear" w:color="auto" w:fill="auto"/>
          </w:tcPr>
          <w:p w14:paraId="63A1842B" w14:textId="77777777" w:rsidR="00CD5EFD" w:rsidRPr="000D12E1" w:rsidRDefault="00CD5EFD" w:rsidP="005961E5">
            <w:pPr>
              <w:rPr>
                <w:rFonts w:ascii="Arial" w:hAnsi="Arial" w:cs="Arial"/>
                <w:b/>
              </w:rPr>
            </w:pPr>
            <w:r w:rsidRPr="000D12E1">
              <w:rPr>
                <w:rFonts w:ascii="Arial" w:hAnsi="Arial" w:cs="Arial"/>
                <w:b/>
              </w:rPr>
              <w:t>Capital Programme</w:t>
            </w:r>
          </w:p>
        </w:tc>
        <w:tc>
          <w:tcPr>
            <w:tcW w:w="992" w:type="dxa"/>
            <w:shd w:val="clear" w:color="auto" w:fill="auto"/>
          </w:tcPr>
          <w:p w14:paraId="46584E4C" w14:textId="77777777" w:rsidR="00CD5EFD" w:rsidRPr="000D12E1" w:rsidRDefault="00CD5EFD" w:rsidP="005961E5">
            <w:pPr>
              <w:rPr>
                <w:rFonts w:ascii="Arial" w:hAnsi="Arial" w:cs="Arial"/>
                <w:b/>
              </w:rPr>
            </w:pPr>
            <w:r w:rsidRPr="000D12E1">
              <w:rPr>
                <w:rFonts w:ascii="Arial" w:hAnsi="Arial" w:cs="Arial"/>
                <w:b/>
              </w:rPr>
              <w:t>Faculties</w:t>
            </w:r>
          </w:p>
        </w:tc>
        <w:tc>
          <w:tcPr>
            <w:tcW w:w="1276" w:type="dxa"/>
            <w:shd w:val="clear" w:color="auto" w:fill="auto"/>
          </w:tcPr>
          <w:p w14:paraId="44C089EF" w14:textId="77777777" w:rsidR="00CD5EFD" w:rsidRPr="000D12E1" w:rsidRDefault="00CD5EFD" w:rsidP="005961E5">
            <w:pPr>
              <w:rPr>
                <w:rFonts w:ascii="Arial" w:hAnsi="Arial" w:cs="Arial"/>
                <w:b/>
              </w:rPr>
            </w:pPr>
            <w:r w:rsidRPr="000D12E1">
              <w:rPr>
                <w:rFonts w:ascii="Arial" w:hAnsi="Arial" w:cs="Arial"/>
                <w:b/>
              </w:rPr>
              <w:t xml:space="preserve">Capital Programme </w:t>
            </w:r>
          </w:p>
        </w:tc>
      </w:tr>
      <w:tr w:rsidR="003506EC" w:rsidRPr="00C14550" w14:paraId="52F5F9C1" w14:textId="77777777" w:rsidTr="000D12E1"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B10E" w14:textId="77777777" w:rsidR="00CD5EFD" w:rsidRPr="000D12E1" w:rsidRDefault="00CD5EFD" w:rsidP="002A042B">
            <w:pPr>
              <w:rPr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 xml:space="preserve">Fixtures </w:t>
            </w:r>
            <w:proofErr w:type="spellStart"/>
            <w:r w:rsidRPr="000D12E1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0D12E1">
              <w:rPr>
                <w:rFonts w:ascii="Arial" w:hAnsi="Arial" w:cs="Arial"/>
                <w:sz w:val="24"/>
                <w:szCs w:val="24"/>
              </w:rPr>
              <w:t xml:space="preserve"> notice boards, shelving, built-in fridges, water boilers, lab benching, cold rooms, fume c</w:t>
            </w:r>
            <w:r w:rsidR="002A042B" w:rsidRPr="000D12E1">
              <w:rPr>
                <w:rFonts w:ascii="Arial" w:hAnsi="Arial" w:cs="Arial"/>
                <w:sz w:val="24"/>
                <w:szCs w:val="24"/>
              </w:rPr>
              <w:t>u</w:t>
            </w:r>
            <w:r w:rsidRPr="000D12E1">
              <w:rPr>
                <w:rFonts w:ascii="Arial" w:hAnsi="Arial" w:cs="Arial"/>
                <w:sz w:val="24"/>
                <w:szCs w:val="24"/>
              </w:rPr>
              <w:t>p</w:t>
            </w:r>
            <w:r w:rsidR="002A042B" w:rsidRPr="000D12E1">
              <w:rPr>
                <w:rFonts w:ascii="Arial" w:hAnsi="Arial" w:cs="Arial"/>
                <w:sz w:val="24"/>
                <w:szCs w:val="24"/>
              </w:rPr>
              <w:t xml:space="preserve">boards </w:t>
            </w:r>
            <w:r w:rsidR="00F9055F" w:rsidRPr="000D12E1">
              <w:rPr>
                <w:rFonts w:ascii="Arial" w:hAnsi="Arial" w:cs="Arial"/>
                <w:sz w:val="24"/>
                <w:szCs w:val="24"/>
              </w:rPr>
              <w:t>(where project-driven)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2B18" w14:textId="77777777" w:rsidR="00CD5EFD" w:rsidRPr="000D12E1" w:rsidRDefault="00CD5EFD" w:rsidP="00596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F51CB8" w14:textId="77777777" w:rsidR="00CD5EFD" w:rsidRPr="000D12E1" w:rsidRDefault="00CD5EFD" w:rsidP="00596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705BB959" w14:textId="77777777" w:rsidR="00CD5EFD" w:rsidRPr="000D12E1" w:rsidRDefault="002A042B" w:rsidP="00596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14:paraId="09E28ADD" w14:textId="77777777" w:rsidR="00CD5EFD" w:rsidRPr="000D12E1" w:rsidRDefault="002A042B" w:rsidP="00596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9</w:t>
            </w:r>
            <w:r w:rsidR="00CD5EFD" w:rsidRPr="000D12E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CD5EFD" w:rsidRPr="00C14550" w14:paraId="1AB152A6" w14:textId="77777777" w:rsidTr="000D12E1"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472A" w14:textId="77777777" w:rsidR="00CD5EFD" w:rsidRPr="000D12E1" w:rsidRDefault="00CD5EFD" w:rsidP="00582152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Loose and fixed furniture including blinds</w:t>
            </w:r>
            <w:r w:rsidR="003506EC" w:rsidRPr="000D12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FF3C" w14:textId="77777777" w:rsidR="00CD5EFD" w:rsidRPr="000D12E1" w:rsidRDefault="00CD5EFD" w:rsidP="00596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FD66A2" w14:textId="77777777" w:rsidR="00CD5EFD" w:rsidRPr="000D12E1" w:rsidRDefault="00CD5EFD" w:rsidP="00596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0457136C" w14:textId="77777777" w:rsidR="00CD5EFD" w:rsidRPr="000D12E1" w:rsidRDefault="00CD5EFD" w:rsidP="00596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14:paraId="1B90BD0D" w14:textId="77777777" w:rsidR="00CD5EFD" w:rsidRPr="000D12E1" w:rsidRDefault="00CD5EFD" w:rsidP="00596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CD5EFD" w:rsidRPr="00C14550" w14:paraId="3EB6BB55" w14:textId="77777777" w:rsidTr="000D12E1"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6341" w14:textId="77777777" w:rsidR="00CD5EFD" w:rsidRPr="000D12E1" w:rsidRDefault="00CD5EFD" w:rsidP="002A042B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Loose equipment such as AV, plasma screens, loose fridges, microwaves</w:t>
            </w:r>
            <w:r w:rsidR="00F9055F" w:rsidRPr="000D12E1">
              <w:rPr>
                <w:rFonts w:ascii="Arial" w:hAnsi="Arial" w:cs="Arial"/>
                <w:sz w:val="24"/>
                <w:szCs w:val="24"/>
              </w:rPr>
              <w:t xml:space="preserve"> (where project-driven)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69E4" w14:textId="77777777" w:rsidR="00CD5EFD" w:rsidRPr="000D12E1" w:rsidRDefault="00CD5EFD" w:rsidP="00596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4308ED" w14:textId="77777777" w:rsidR="00CD5EFD" w:rsidRPr="000D12E1" w:rsidRDefault="00CD5EFD" w:rsidP="00596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3ABA2F4F" w14:textId="77777777" w:rsidR="00CD5EFD" w:rsidRPr="000D12E1" w:rsidRDefault="00CD5EFD" w:rsidP="00596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14:paraId="13B5C0EB" w14:textId="77777777" w:rsidR="00CD5EFD" w:rsidRPr="000D12E1" w:rsidRDefault="00CD5EFD" w:rsidP="00596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6EC" w:rsidRPr="00C14550" w14:paraId="697D25D9" w14:textId="77777777" w:rsidTr="000D12E1"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7C0E" w14:textId="77777777" w:rsidR="00CD5EFD" w:rsidRPr="000D12E1" w:rsidRDefault="00F102D7" w:rsidP="005961E5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E</w:t>
            </w:r>
            <w:r w:rsidR="00CD5EFD" w:rsidRPr="000D12E1">
              <w:rPr>
                <w:rFonts w:ascii="Arial" w:hAnsi="Arial" w:cs="Arial"/>
                <w:sz w:val="24"/>
                <w:szCs w:val="24"/>
              </w:rPr>
              <w:t xml:space="preserve">quipment usually funded from recurrent budgets </w:t>
            </w:r>
            <w:proofErr w:type="spellStart"/>
            <w:r w:rsidR="00CD5EFD" w:rsidRPr="000D12E1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CD5EFD" w:rsidRPr="000D12E1">
              <w:rPr>
                <w:rFonts w:ascii="Arial" w:hAnsi="Arial" w:cs="Arial"/>
                <w:sz w:val="24"/>
                <w:szCs w:val="24"/>
              </w:rPr>
              <w:t xml:space="preserve"> PCs, photocopiers</w:t>
            </w:r>
            <w:r w:rsidR="003506EC" w:rsidRPr="000D12E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82152" w:rsidRPr="000D12E1">
              <w:rPr>
                <w:rFonts w:ascii="Arial" w:hAnsi="Arial" w:cs="Arial"/>
                <w:sz w:val="24"/>
                <w:szCs w:val="24"/>
              </w:rPr>
              <w:t xml:space="preserve">phones, </w:t>
            </w:r>
            <w:r w:rsidR="003506EC" w:rsidRPr="000D12E1">
              <w:rPr>
                <w:rFonts w:ascii="Arial" w:hAnsi="Arial" w:cs="Arial"/>
                <w:sz w:val="24"/>
                <w:szCs w:val="24"/>
              </w:rPr>
              <w:t>lab equipment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E632" w14:textId="77777777" w:rsidR="00CD5EFD" w:rsidRPr="000D12E1" w:rsidRDefault="00F9055F" w:rsidP="00F9055F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14:paraId="17A80674" w14:textId="77777777" w:rsidR="00CD5EFD" w:rsidRPr="000D12E1" w:rsidRDefault="00CD5EFD" w:rsidP="00596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0C450B" w14:textId="77777777" w:rsidR="00CD5EFD" w:rsidRPr="000D12E1" w:rsidRDefault="003506EC" w:rsidP="00596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14:paraId="05C1739E" w14:textId="77777777" w:rsidR="00CD5EFD" w:rsidRPr="000D12E1" w:rsidRDefault="00CD5EFD" w:rsidP="00596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0206" w:type="dxa"/>
        <w:tblInd w:w="421" w:type="dxa"/>
        <w:tblLook w:val="04A0" w:firstRow="1" w:lastRow="0" w:firstColumn="1" w:lastColumn="0" w:noHBand="0" w:noVBand="1"/>
      </w:tblPr>
      <w:tblGrid>
        <w:gridCol w:w="10206"/>
      </w:tblGrid>
      <w:tr w:rsidR="00341789" w:rsidRPr="00F9055F" w14:paraId="5396511C" w14:textId="77777777" w:rsidTr="00350EDC">
        <w:tc>
          <w:tcPr>
            <w:tcW w:w="10206" w:type="dxa"/>
          </w:tcPr>
          <w:p w14:paraId="4FF48899" w14:textId="77777777" w:rsidR="00925F9D" w:rsidRPr="000D12E1" w:rsidRDefault="00925F9D" w:rsidP="003506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C10B4" w14:textId="2BC56D08" w:rsidR="00341789" w:rsidRPr="000D12E1" w:rsidRDefault="00341789" w:rsidP="003506EC">
            <w:pPr>
              <w:rPr>
                <w:rFonts w:ascii="Arial" w:hAnsi="Arial" w:cs="Arial"/>
                <w:sz w:val="24"/>
                <w:szCs w:val="24"/>
              </w:rPr>
            </w:pPr>
            <w:r w:rsidRPr="000D12E1">
              <w:rPr>
                <w:rFonts w:ascii="Arial" w:hAnsi="Arial" w:cs="Arial"/>
                <w:sz w:val="24"/>
                <w:szCs w:val="24"/>
              </w:rPr>
              <w:lastRenderedPageBreak/>
              <w:t xml:space="preserve">Faculties and Professional Services are responsible for ongoing </w:t>
            </w:r>
            <w:r w:rsidR="00804502" w:rsidRPr="000D12E1">
              <w:rPr>
                <w:rFonts w:ascii="Arial" w:hAnsi="Arial" w:cs="Arial"/>
                <w:sz w:val="24"/>
                <w:szCs w:val="24"/>
              </w:rPr>
              <w:t>upgrade</w:t>
            </w:r>
            <w:r w:rsidRPr="000D12E1">
              <w:rPr>
                <w:rFonts w:ascii="Arial" w:hAnsi="Arial" w:cs="Arial"/>
                <w:sz w:val="24"/>
                <w:szCs w:val="24"/>
              </w:rPr>
              <w:t xml:space="preserve">/replacement costs for equipment procured as part of the capital project, </w:t>
            </w:r>
            <w:proofErr w:type="spellStart"/>
            <w:r w:rsidRPr="000D12E1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0D12E1">
              <w:rPr>
                <w:rFonts w:ascii="Arial" w:hAnsi="Arial" w:cs="Arial"/>
                <w:sz w:val="24"/>
                <w:szCs w:val="24"/>
              </w:rPr>
              <w:t xml:space="preserve"> AV, plasma screens, white goods in kitchens</w:t>
            </w:r>
            <w:r w:rsidR="000E6B86" w:rsidRPr="000D12E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4502" w:rsidRPr="000D12E1">
              <w:rPr>
                <w:rFonts w:ascii="Arial" w:hAnsi="Arial" w:cs="Arial"/>
                <w:sz w:val="24"/>
                <w:szCs w:val="24"/>
              </w:rPr>
              <w:t xml:space="preserve">research equipment, </w:t>
            </w:r>
            <w:r w:rsidR="000E6B86" w:rsidRPr="000D12E1">
              <w:rPr>
                <w:rFonts w:ascii="Arial" w:hAnsi="Arial" w:cs="Arial"/>
                <w:sz w:val="24"/>
                <w:szCs w:val="24"/>
              </w:rPr>
              <w:t xml:space="preserve">plus </w:t>
            </w:r>
            <w:r w:rsidR="00804502" w:rsidRPr="000D12E1">
              <w:rPr>
                <w:rFonts w:ascii="Arial" w:hAnsi="Arial" w:cs="Arial"/>
                <w:sz w:val="24"/>
                <w:szCs w:val="24"/>
              </w:rPr>
              <w:t>refurbishments or</w:t>
            </w:r>
            <w:r w:rsidR="000E6B86" w:rsidRPr="000D1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502" w:rsidRPr="000D12E1"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0E6B86" w:rsidRPr="000D12E1">
              <w:rPr>
                <w:rFonts w:ascii="Arial" w:hAnsi="Arial" w:cs="Arial"/>
                <w:sz w:val="24"/>
                <w:szCs w:val="24"/>
              </w:rPr>
              <w:t>furniture</w:t>
            </w:r>
            <w:r w:rsidR="00804502" w:rsidRPr="000D12E1">
              <w:rPr>
                <w:rFonts w:ascii="Arial" w:hAnsi="Arial" w:cs="Arial"/>
                <w:sz w:val="24"/>
                <w:szCs w:val="24"/>
              </w:rPr>
              <w:t>. These</w:t>
            </w:r>
            <w:r w:rsidR="000E6B86" w:rsidRPr="000D1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502" w:rsidRPr="000D12E1">
              <w:rPr>
                <w:rFonts w:ascii="Arial" w:hAnsi="Arial" w:cs="Arial"/>
                <w:sz w:val="24"/>
                <w:szCs w:val="24"/>
              </w:rPr>
              <w:t xml:space="preserve">costs </w:t>
            </w:r>
            <w:r w:rsidR="000E6B86" w:rsidRPr="000D12E1">
              <w:rPr>
                <w:rFonts w:ascii="Arial" w:hAnsi="Arial" w:cs="Arial"/>
                <w:sz w:val="24"/>
                <w:szCs w:val="24"/>
              </w:rPr>
              <w:t>should be included in NPVs.</w:t>
            </w:r>
          </w:p>
          <w:p w14:paraId="31598D81" w14:textId="77777777" w:rsidR="003506EC" w:rsidRPr="000D12E1" w:rsidRDefault="003506EC" w:rsidP="003506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486A40" w14:textId="77777777" w:rsidR="002B2BE3" w:rsidRDefault="002B2BE3" w:rsidP="002B2BE3">
      <w:pPr>
        <w:rPr>
          <w:rFonts w:ascii="Arial" w:hAnsi="Arial" w:cs="Arial"/>
          <w:sz w:val="24"/>
          <w:szCs w:val="24"/>
        </w:rPr>
      </w:pPr>
    </w:p>
    <w:p w14:paraId="34EC2013" w14:textId="77777777" w:rsidR="002B2BE3" w:rsidRDefault="002B2BE3" w:rsidP="002B2BE3">
      <w:pPr>
        <w:rPr>
          <w:rFonts w:ascii="Arial" w:hAnsi="Arial" w:cs="Arial"/>
          <w:sz w:val="24"/>
          <w:szCs w:val="24"/>
        </w:rPr>
      </w:pPr>
    </w:p>
    <w:p w14:paraId="144EC39D" w14:textId="64EEB6EA" w:rsidR="002B2BE3" w:rsidRPr="000D12E1" w:rsidRDefault="002B2BE3" w:rsidP="002B2BE3">
      <w:pPr>
        <w:ind w:left="567"/>
        <w:rPr>
          <w:rStyle w:val="Hyperlink"/>
          <w:sz w:val="24"/>
          <w:szCs w:val="24"/>
        </w:rPr>
      </w:pPr>
      <w:r w:rsidRPr="000D12E1">
        <w:rPr>
          <w:rFonts w:ascii="Arial" w:hAnsi="Arial" w:cs="Arial"/>
          <w:sz w:val="24"/>
          <w:szCs w:val="24"/>
        </w:rPr>
        <w:t xml:space="preserve">All capital projects should be supported by a business case appropriate to the level of investment, see </w:t>
      </w:r>
      <w:hyperlink r:id="rId11" w:anchor="usefulinformation" w:history="1">
        <w:r w:rsidRPr="000D12E1">
          <w:rPr>
            <w:rStyle w:val="Hyperlink"/>
            <w:sz w:val="24"/>
            <w:szCs w:val="24"/>
          </w:rPr>
          <w:t>https://facilitiesdirectorate.leeds.ac.uk/investment-appraisal/#usefulinformation</w:t>
        </w:r>
      </w:hyperlink>
    </w:p>
    <w:p w14:paraId="401EDCEB" w14:textId="77777777" w:rsidR="00EF1DCB" w:rsidRDefault="00EF1DCB" w:rsidP="000E6B86">
      <w:pPr>
        <w:rPr>
          <w:rFonts w:ascii="Arial" w:hAnsi="Arial" w:cs="Arial"/>
          <w:sz w:val="16"/>
          <w:szCs w:val="16"/>
        </w:rPr>
      </w:pPr>
    </w:p>
    <w:sectPr w:rsidR="00EF1DCB" w:rsidSect="00925F9D">
      <w:footerReference w:type="default" r:id="rId12"/>
      <w:footerReference w:type="first" r:id="rId13"/>
      <w:pgSz w:w="11906" w:h="16838"/>
      <w:pgMar w:top="1135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4827B" w14:textId="77777777" w:rsidR="008A1285" w:rsidRDefault="008A1285" w:rsidP="00384C7A">
      <w:r>
        <w:separator/>
      </w:r>
    </w:p>
  </w:endnote>
  <w:endnote w:type="continuationSeparator" w:id="0">
    <w:p w14:paraId="48B0D093" w14:textId="77777777" w:rsidR="008A1285" w:rsidRDefault="008A1285" w:rsidP="0038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7308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DCE90" w14:textId="595EFA4F" w:rsidR="0039290C" w:rsidRDefault="00392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B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FA46A0" w14:textId="43B3F1A1" w:rsidR="00384C7A" w:rsidRDefault="0039290C">
    <w:pPr>
      <w:pStyle w:val="Footer"/>
    </w:pPr>
    <w:r>
      <w:t>MMT/Policy on Cost Apportionment</w:t>
    </w:r>
    <w:r w:rsidR="005B3915">
      <w:t xml:space="preserve"> Final</w:t>
    </w:r>
    <w:r w:rsidR="00925F9D">
      <w:t xml:space="preserve"> </w:t>
    </w:r>
    <w:r>
      <w:t>v</w:t>
    </w:r>
    <w:r w:rsidR="005B3915">
      <w:t>1</w:t>
    </w:r>
    <w:r w:rsidR="00925F9D">
      <w:tab/>
    </w:r>
    <w:r w:rsidR="00925F9D">
      <w:tab/>
    </w:r>
    <w:r w:rsidR="00925F9D">
      <w:tab/>
      <w:t>17.12.20</w:t>
    </w:r>
  </w:p>
  <w:p w14:paraId="0E743993" w14:textId="77777777" w:rsidR="0030231E" w:rsidRDefault="00302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4077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A5F0D" w14:textId="1938BACA" w:rsidR="0039290C" w:rsidRDefault="00392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2D66B6" w14:textId="77777777" w:rsidR="00BD5DB1" w:rsidRDefault="00BD5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FAE77" w14:textId="77777777" w:rsidR="008A1285" w:rsidRDefault="008A1285" w:rsidP="00384C7A">
      <w:r>
        <w:separator/>
      </w:r>
    </w:p>
  </w:footnote>
  <w:footnote w:type="continuationSeparator" w:id="0">
    <w:p w14:paraId="5F2C0B32" w14:textId="77777777" w:rsidR="008A1285" w:rsidRDefault="008A1285" w:rsidP="0038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0EDA"/>
    <w:multiLevelType w:val="hybridMultilevel"/>
    <w:tmpl w:val="D1D677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A71"/>
    <w:multiLevelType w:val="hybridMultilevel"/>
    <w:tmpl w:val="02E2D904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AE80B4A"/>
    <w:multiLevelType w:val="hybridMultilevel"/>
    <w:tmpl w:val="3B12A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4E04"/>
    <w:multiLevelType w:val="hybridMultilevel"/>
    <w:tmpl w:val="80081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01C61"/>
    <w:multiLevelType w:val="hybridMultilevel"/>
    <w:tmpl w:val="D1D677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61D40"/>
    <w:multiLevelType w:val="hybridMultilevel"/>
    <w:tmpl w:val="D376E8B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AE27EC9"/>
    <w:multiLevelType w:val="hybridMultilevel"/>
    <w:tmpl w:val="8AD6B130"/>
    <w:lvl w:ilvl="0" w:tplc="0666C88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623C5"/>
    <w:multiLevelType w:val="hybridMultilevel"/>
    <w:tmpl w:val="E402C32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25"/>
    <w:rsid w:val="00011487"/>
    <w:rsid w:val="000918D2"/>
    <w:rsid w:val="000A70E3"/>
    <w:rsid w:val="000C6E99"/>
    <w:rsid w:val="000D12E1"/>
    <w:rsid w:val="000E0577"/>
    <w:rsid w:val="000E6B86"/>
    <w:rsid w:val="000F4678"/>
    <w:rsid w:val="001119B1"/>
    <w:rsid w:val="00124C9A"/>
    <w:rsid w:val="001305DF"/>
    <w:rsid w:val="00147549"/>
    <w:rsid w:val="001760EE"/>
    <w:rsid w:val="001C0AD6"/>
    <w:rsid w:val="00214B29"/>
    <w:rsid w:val="00224047"/>
    <w:rsid w:val="00225F53"/>
    <w:rsid w:val="00232F93"/>
    <w:rsid w:val="002478F6"/>
    <w:rsid w:val="00254FBE"/>
    <w:rsid w:val="00291F3E"/>
    <w:rsid w:val="0029552C"/>
    <w:rsid w:val="002A042B"/>
    <w:rsid w:val="002A35A6"/>
    <w:rsid w:val="002B2BE3"/>
    <w:rsid w:val="002C6596"/>
    <w:rsid w:val="003000D2"/>
    <w:rsid w:val="0030231E"/>
    <w:rsid w:val="00321BCC"/>
    <w:rsid w:val="00341789"/>
    <w:rsid w:val="00341DF6"/>
    <w:rsid w:val="003506EC"/>
    <w:rsid w:val="00350EDC"/>
    <w:rsid w:val="0036166F"/>
    <w:rsid w:val="00371B21"/>
    <w:rsid w:val="0037758C"/>
    <w:rsid w:val="00384C7A"/>
    <w:rsid w:val="0039290C"/>
    <w:rsid w:val="00393B2D"/>
    <w:rsid w:val="003A5A41"/>
    <w:rsid w:val="003C3C07"/>
    <w:rsid w:val="003C3CE0"/>
    <w:rsid w:val="003D43A6"/>
    <w:rsid w:val="003F7C1E"/>
    <w:rsid w:val="004039CC"/>
    <w:rsid w:val="004B3743"/>
    <w:rsid w:val="004C0947"/>
    <w:rsid w:val="004D2FA0"/>
    <w:rsid w:val="00516C32"/>
    <w:rsid w:val="00544996"/>
    <w:rsid w:val="00575177"/>
    <w:rsid w:val="0058078C"/>
    <w:rsid w:val="00582152"/>
    <w:rsid w:val="00586C84"/>
    <w:rsid w:val="005970E8"/>
    <w:rsid w:val="005975FB"/>
    <w:rsid w:val="005B3915"/>
    <w:rsid w:val="005C007E"/>
    <w:rsid w:val="005E23B7"/>
    <w:rsid w:val="005F550D"/>
    <w:rsid w:val="00601525"/>
    <w:rsid w:val="00652D55"/>
    <w:rsid w:val="00670AEF"/>
    <w:rsid w:val="006D2F52"/>
    <w:rsid w:val="006E5FAD"/>
    <w:rsid w:val="006F1C63"/>
    <w:rsid w:val="007171DE"/>
    <w:rsid w:val="00734935"/>
    <w:rsid w:val="00773B0A"/>
    <w:rsid w:val="00782748"/>
    <w:rsid w:val="00792C46"/>
    <w:rsid w:val="007D2649"/>
    <w:rsid w:val="007F08F7"/>
    <w:rsid w:val="007F18BD"/>
    <w:rsid w:val="00804502"/>
    <w:rsid w:val="008550A8"/>
    <w:rsid w:val="00872C58"/>
    <w:rsid w:val="008767D9"/>
    <w:rsid w:val="008A1285"/>
    <w:rsid w:val="008C38C9"/>
    <w:rsid w:val="009241C5"/>
    <w:rsid w:val="00925F9D"/>
    <w:rsid w:val="00927459"/>
    <w:rsid w:val="00935CA9"/>
    <w:rsid w:val="009625D3"/>
    <w:rsid w:val="009758DD"/>
    <w:rsid w:val="00976E4B"/>
    <w:rsid w:val="00986FE1"/>
    <w:rsid w:val="0099386D"/>
    <w:rsid w:val="009B1992"/>
    <w:rsid w:val="009B7C26"/>
    <w:rsid w:val="00A124F4"/>
    <w:rsid w:val="00A12E6F"/>
    <w:rsid w:val="00A35A8F"/>
    <w:rsid w:val="00A522F6"/>
    <w:rsid w:val="00A6156C"/>
    <w:rsid w:val="00A6598E"/>
    <w:rsid w:val="00A66B38"/>
    <w:rsid w:val="00A74871"/>
    <w:rsid w:val="00A9505B"/>
    <w:rsid w:val="00AB7828"/>
    <w:rsid w:val="00AC3554"/>
    <w:rsid w:val="00B37771"/>
    <w:rsid w:val="00B37B1E"/>
    <w:rsid w:val="00B82C91"/>
    <w:rsid w:val="00BA34F5"/>
    <w:rsid w:val="00BD2564"/>
    <w:rsid w:val="00BD25F8"/>
    <w:rsid w:val="00BD5DB1"/>
    <w:rsid w:val="00C04AC5"/>
    <w:rsid w:val="00C14550"/>
    <w:rsid w:val="00C346AB"/>
    <w:rsid w:val="00C5106F"/>
    <w:rsid w:val="00C65295"/>
    <w:rsid w:val="00C70DEF"/>
    <w:rsid w:val="00C97EED"/>
    <w:rsid w:val="00CA6512"/>
    <w:rsid w:val="00CB1011"/>
    <w:rsid w:val="00CB11B4"/>
    <w:rsid w:val="00CB3ED3"/>
    <w:rsid w:val="00CD5EFD"/>
    <w:rsid w:val="00CD689B"/>
    <w:rsid w:val="00CF7843"/>
    <w:rsid w:val="00D01E28"/>
    <w:rsid w:val="00D27867"/>
    <w:rsid w:val="00D4423E"/>
    <w:rsid w:val="00D521D5"/>
    <w:rsid w:val="00D545A2"/>
    <w:rsid w:val="00D55D60"/>
    <w:rsid w:val="00D92CF8"/>
    <w:rsid w:val="00DD2204"/>
    <w:rsid w:val="00DF382B"/>
    <w:rsid w:val="00E05C09"/>
    <w:rsid w:val="00E2415F"/>
    <w:rsid w:val="00E36347"/>
    <w:rsid w:val="00E90550"/>
    <w:rsid w:val="00E96EF2"/>
    <w:rsid w:val="00EC3701"/>
    <w:rsid w:val="00EE1BC5"/>
    <w:rsid w:val="00EE3DD5"/>
    <w:rsid w:val="00EF1DCB"/>
    <w:rsid w:val="00EF6658"/>
    <w:rsid w:val="00F054CF"/>
    <w:rsid w:val="00F102D7"/>
    <w:rsid w:val="00F1387C"/>
    <w:rsid w:val="00F37976"/>
    <w:rsid w:val="00F50DE2"/>
    <w:rsid w:val="00F6419D"/>
    <w:rsid w:val="00F7293C"/>
    <w:rsid w:val="00F9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9253"/>
  <w15:chartTrackingRefBased/>
  <w15:docId w15:val="{A7F093A6-46DF-4662-B7A5-09B741BA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52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976"/>
    <w:pPr>
      <w:ind w:right="481"/>
      <w:jc w:val="center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976"/>
    <w:pPr>
      <w:ind w:left="567" w:right="481"/>
      <w:jc w:val="center"/>
      <w:outlineLvl w:val="1"/>
    </w:pPr>
    <w:rPr>
      <w:rFonts w:ascii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976"/>
    <w:pPr>
      <w:ind w:left="426" w:right="481"/>
      <w:outlineLvl w:val="2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15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4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C7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4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C7A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7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B0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B0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0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370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758DD"/>
    <w:rPr>
      <w:color w:val="0000FF"/>
      <w:u w:val="single"/>
    </w:rPr>
  </w:style>
  <w:style w:type="table" w:styleId="TableGrid">
    <w:name w:val="Table Grid"/>
    <w:basedOn w:val="TableNormal"/>
    <w:rsid w:val="001760E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CB1011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B10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7976"/>
    <w:rPr>
      <w:rFonts w:ascii="Arial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37976"/>
    <w:rPr>
      <w:rFonts w:ascii="Arial" w:hAnsi="Arial"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37976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cilitiesdirectorate.leeds.ac.uk/investment-appraisa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acilitiesdirectorate.leeds.ac.uk/investment-appraisa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DA581DCFC2E4AB74B3F1C26448727" ma:contentTypeVersion="13" ma:contentTypeDescription="Create a new document." ma:contentTypeScope="" ma:versionID="9346050eddd5d6b992c5e39cb83ab550">
  <xsd:schema xmlns:xsd="http://www.w3.org/2001/XMLSchema" xmlns:xs="http://www.w3.org/2001/XMLSchema" xmlns:p="http://schemas.microsoft.com/office/2006/metadata/properties" xmlns:ns3="2c146d91-5de2-4b9b-bfe2-030848a0d7a6" xmlns:ns4="a5fd94d7-8853-48dc-9381-c26a38258ab9" targetNamespace="http://schemas.microsoft.com/office/2006/metadata/properties" ma:root="true" ma:fieldsID="32e2c12b8794b83c51af657f8ace81bf" ns3:_="" ns4:_="">
    <xsd:import namespace="2c146d91-5de2-4b9b-bfe2-030848a0d7a6"/>
    <xsd:import namespace="a5fd94d7-8853-48dc-9381-c26a38258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46d91-5de2-4b9b-bfe2-030848a0d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94d7-8853-48dc-9381-c26a38258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909C0-A31E-4C37-8381-002FA6010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78B23-C194-4768-AA54-11EEB7369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46d91-5de2-4b9b-bfe2-030848a0d7a6"/>
    <ds:schemaRef ds:uri="a5fd94d7-8853-48dc-9381-c26a38258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99B7B-7938-46CC-8C0B-291588964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Troughton</dc:creator>
  <cp:keywords/>
  <dc:description/>
  <cp:lastModifiedBy>Matt Hamnett</cp:lastModifiedBy>
  <cp:revision>3</cp:revision>
  <cp:lastPrinted>2019-12-06T11:45:00Z</cp:lastPrinted>
  <dcterms:created xsi:type="dcterms:W3CDTF">2021-01-18T17:19:00Z</dcterms:created>
  <dcterms:modified xsi:type="dcterms:W3CDTF">2021-01-18T17:25:00Z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0x010100A7BDA581DCFC2E4AB74B3F1C26448727</vt:lpwstr>
  </property>
</Properties>
</file>